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76558" w14:textId="70A9B281" w:rsidR="00171697" w:rsidRPr="00C05397" w:rsidRDefault="001939DF" w:rsidP="006C3F28">
      <w:pPr>
        <w:spacing w:line="240" w:lineRule="auto"/>
        <w:jc w:val="center"/>
        <w:rPr>
          <w:rFonts w:cstheme="minorHAnsi"/>
          <w:b/>
        </w:rPr>
      </w:pPr>
      <w:r w:rsidRPr="00C05397">
        <w:rPr>
          <w:rFonts w:cstheme="minorHAnsi"/>
          <w:b/>
        </w:rPr>
        <w:t xml:space="preserve"> </w:t>
      </w:r>
      <w:r w:rsidR="00DF38CC" w:rsidRPr="00C05397">
        <w:rPr>
          <w:rFonts w:cstheme="minorHAnsi"/>
          <w:b/>
        </w:rPr>
        <w:t>202</w:t>
      </w:r>
      <w:r w:rsidR="007B6D55" w:rsidRPr="00C05397">
        <w:rPr>
          <w:rFonts w:cstheme="minorHAnsi"/>
          <w:b/>
        </w:rPr>
        <w:t>6</w:t>
      </w:r>
      <w:r w:rsidR="00DF38CC" w:rsidRPr="00C05397">
        <w:rPr>
          <w:rFonts w:cstheme="minorHAnsi"/>
          <w:b/>
        </w:rPr>
        <w:t xml:space="preserve"> </w:t>
      </w:r>
      <w:r w:rsidR="00FE35B4" w:rsidRPr="00C05397">
        <w:rPr>
          <w:rFonts w:cstheme="minorHAnsi"/>
          <w:b/>
        </w:rPr>
        <w:t>S</w:t>
      </w:r>
      <w:r w:rsidR="007B6D55" w:rsidRPr="00C05397">
        <w:rPr>
          <w:rFonts w:cstheme="minorHAnsi"/>
          <w:b/>
        </w:rPr>
        <w:t>ummer</w:t>
      </w:r>
      <w:r w:rsidR="00F415F6" w:rsidRPr="00C05397">
        <w:rPr>
          <w:rFonts w:cstheme="minorHAnsi"/>
          <w:b/>
        </w:rPr>
        <w:t xml:space="preserve"> National</w:t>
      </w:r>
      <w:r w:rsidR="00935F52" w:rsidRPr="00C05397">
        <w:rPr>
          <w:rFonts w:cstheme="minorHAnsi"/>
          <w:b/>
        </w:rPr>
        <w:t xml:space="preserve"> Meeting</w:t>
      </w:r>
      <w:r w:rsidR="00F1411B" w:rsidRPr="00C05397">
        <w:rPr>
          <w:rFonts w:cstheme="minorHAnsi"/>
          <w:b/>
        </w:rPr>
        <w:t xml:space="preserve"> - </w:t>
      </w:r>
      <w:r w:rsidR="00DF23FD" w:rsidRPr="00C05397">
        <w:rPr>
          <w:rFonts w:cstheme="minorHAnsi"/>
          <w:b/>
        </w:rPr>
        <w:t xml:space="preserve">Review of </w:t>
      </w:r>
      <w:r w:rsidR="00875B4C" w:rsidRPr="00C05397">
        <w:rPr>
          <w:rFonts w:cstheme="minorHAnsi"/>
          <w:b/>
        </w:rPr>
        <w:t xml:space="preserve">U.S. </w:t>
      </w:r>
      <w:r w:rsidR="00DF23FD" w:rsidRPr="00C05397">
        <w:rPr>
          <w:rFonts w:cstheme="minorHAnsi"/>
          <w:b/>
        </w:rPr>
        <w:t>GAAP Exposures for Statutory Accounting:</w:t>
      </w:r>
    </w:p>
    <w:p w14:paraId="0567D796" w14:textId="09A30655" w:rsidR="00DF23FD" w:rsidRPr="00C05397" w:rsidRDefault="00DF23FD" w:rsidP="00787394">
      <w:pPr>
        <w:spacing w:line="240" w:lineRule="auto"/>
        <w:jc w:val="both"/>
        <w:rPr>
          <w:rFonts w:cstheme="minorHAnsi"/>
        </w:rPr>
      </w:pPr>
      <w:r w:rsidRPr="00C05397">
        <w:rPr>
          <w:rFonts w:cstheme="minorHAnsi"/>
        </w:rPr>
        <w:t xml:space="preserve">Pursuant to a </w:t>
      </w:r>
      <w:r w:rsidR="00225920" w:rsidRPr="00C05397">
        <w:rPr>
          <w:rFonts w:cstheme="minorHAnsi"/>
        </w:rPr>
        <w:t>201</w:t>
      </w:r>
      <w:r w:rsidR="008C0311" w:rsidRPr="00C05397">
        <w:rPr>
          <w:rFonts w:cstheme="minorHAnsi"/>
        </w:rPr>
        <w:t>4</w:t>
      </w:r>
      <w:r w:rsidR="00225920" w:rsidRPr="00C05397">
        <w:rPr>
          <w:rFonts w:cstheme="minorHAnsi"/>
        </w:rPr>
        <w:t xml:space="preserve"> direction from</w:t>
      </w:r>
      <w:r w:rsidRPr="00C05397">
        <w:rPr>
          <w:rFonts w:cstheme="minorHAnsi"/>
        </w:rPr>
        <w:t xml:space="preserve"> the SAPWG chair, there is a desire for the Statutory Accounting Principles </w:t>
      </w:r>
      <w:r w:rsidR="00225920" w:rsidRPr="00C05397">
        <w:rPr>
          <w:rFonts w:cstheme="minorHAnsi"/>
        </w:rPr>
        <w:t xml:space="preserve">(E) </w:t>
      </w:r>
      <w:r w:rsidRPr="00C05397">
        <w:rPr>
          <w:rFonts w:cstheme="minorHAnsi"/>
        </w:rPr>
        <w:t xml:space="preserve">Working Group </w:t>
      </w:r>
      <w:r w:rsidR="00995C63" w:rsidRPr="00C05397">
        <w:rPr>
          <w:rFonts w:cstheme="minorHAnsi"/>
        </w:rPr>
        <w:t xml:space="preserve">to </w:t>
      </w:r>
      <w:r w:rsidRPr="00C05397">
        <w:rPr>
          <w:rFonts w:cstheme="minorHAnsi"/>
        </w:rPr>
        <w:t xml:space="preserve">be more proactive in considering FASB exposures that may be significant to statutory accounting and reporting. Historically, the SAPWG has commented on limited, key FASB exposures – mostly pertaining to insurance contracts and financial instruments. To ensure consideration of </w:t>
      </w:r>
      <w:r w:rsidR="00995C63" w:rsidRPr="00C05397">
        <w:rPr>
          <w:rFonts w:cstheme="minorHAnsi"/>
        </w:rPr>
        <w:t xml:space="preserve">all </w:t>
      </w:r>
      <w:r w:rsidR="00955136" w:rsidRPr="00C05397">
        <w:rPr>
          <w:rFonts w:cstheme="minorHAnsi"/>
        </w:rPr>
        <w:t xml:space="preserve">FASB </w:t>
      </w:r>
      <w:r w:rsidRPr="00C05397">
        <w:rPr>
          <w:rFonts w:cstheme="minorHAnsi"/>
        </w:rPr>
        <w:t>exposures, staff prepared this memorandum to highlight the current exposures, comment deadlines, and to provide a high-level summary of the exposed item’s potential impact to statutory accounting. It is anticipated that this information would assist the Working Group in determining whether a comment letter should be submitted to the FASB</w:t>
      </w:r>
      <w:r w:rsidR="00995C63" w:rsidRPr="00C05397">
        <w:rPr>
          <w:rFonts w:cstheme="minorHAnsi"/>
        </w:rPr>
        <w:t xml:space="preserve"> on the issues</w:t>
      </w:r>
      <w:r w:rsidR="00EC3923" w:rsidRPr="00C05397">
        <w:rPr>
          <w:rFonts w:cstheme="minorHAnsi"/>
        </w:rPr>
        <w:t xml:space="preserve">. Regardless of the Working Group’s election to submit comments to the FASB on proposed accounting standards, under the NAIC Policy Statement on Statutory Accounting Principles Maintenance Agenda Process, </w:t>
      </w:r>
      <w:r w:rsidR="004451BD" w:rsidRPr="00C05397">
        <w:rPr>
          <w:rFonts w:cstheme="minorHAnsi"/>
        </w:rPr>
        <w:t xml:space="preserve">issued </w:t>
      </w:r>
      <w:r w:rsidR="00EC3923" w:rsidRPr="00C05397">
        <w:rPr>
          <w:rFonts w:cstheme="minorHAnsi"/>
        </w:rPr>
        <w:t xml:space="preserve">US GAAP guidance noted in the </w:t>
      </w:r>
      <w:r w:rsidR="004451BD" w:rsidRPr="00C05397">
        <w:rPr>
          <w:rFonts w:cstheme="minorHAnsi"/>
        </w:rPr>
        <w:t>h</w:t>
      </w:r>
      <w:r w:rsidR="00EC3923" w:rsidRPr="00C05397">
        <w:rPr>
          <w:rFonts w:cstheme="minorHAnsi"/>
        </w:rPr>
        <w:t xml:space="preserve">ierarchy </w:t>
      </w:r>
      <w:r w:rsidR="004451BD" w:rsidRPr="00C05397">
        <w:rPr>
          <w:rFonts w:cstheme="minorHAnsi"/>
        </w:rPr>
        <w:t xml:space="preserve">within </w:t>
      </w:r>
      <w:r w:rsidR="00EC3923" w:rsidRPr="00C05397">
        <w:rPr>
          <w:rFonts w:cstheme="minorHAnsi"/>
        </w:rPr>
        <w:t xml:space="preserve">Section V of the Preamble to the </w:t>
      </w:r>
      <w:r w:rsidR="00EC3923" w:rsidRPr="00C05397">
        <w:rPr>
          <w:rFonts w:cstheme="minorHAnsi"/>
          <w:i/>
        </w:rPr>
        <w:t>Accounting P</w:t>
      </w:r>
      <w:r w:rsidR="004451BD" w:rsidRPr="00C05397">
        <w:rPr>
          <w:rFonts w:cstheme="minorHAnsi"/>
          <w:i/>
        </w:rPr>
        <w:t>ractices and Procedures Manual</w:t>
      </w:r>
      <w:r w:rsidR="004451BD" w:rsidRPr="00C05397">
        <w:rPr>
          <w:rFonts w:cstheme="minorHAnsi"/>
        </w:rPr>
        <w:t xml:space="preserve"> must be considered by the Statutory Accounting Principles (E) Working Group. </w:t>
      </w:r>
    </w:p>
    <w:p w14:paraId="398B0943" w14:textId="1D77506A" w:rsidR="00F02FD9" w:rsidRPr="00882905" w:rsidRDefault="00DF23FD" w:rsidP="00787394">
      <w:pPr>
        <w:spacing w:line="240" w:lineRule="auto"/>
        <w:jc w:val="both"/>
        <w:rPr>
          <w:rFonts w:cstheme="minorHAnsi"/>
          <w:lang w:val="fr-CA"/>
        </w:rPr>
      </w:pPr>
      <w:r w:rsidRPr="00882905">
        <w:rPr>
          <w:rFonts w:cstheme="minorHAnsi"/>
          <w:lang w:val="fr-CA"/>
        </w:rPr>
        <w:t xml:space="preserve">FASB </w:t>
      </w:r>
      <w:proofErr w:type="spellStart"/>
      <w:r w:rsidRPr="00882905">
        <w:rPr>
          <w:rFonts w:cstheme="minorHAnsi"/>
          <w:lang w:val="fr-CA"/>
        </w:rPr>
        <w:t>Exposures</w:t>
      </w:r>
      <w:proofErr w:type="spellEnd"/>
      <w:r w:rsidRPr="00882905">
        <w:rPr>
          <w:rFonts w:cstheme="minorHAnsi"/>
          <w:lang w:val="fr-CA"/>
        </w:rPr>
        <w:t xml:space="preserve">: </w:t>
      </w:r>
      <w:hyperlink r:id="rId11" w:history="1"/>
      <w:hyperlink r:id="rId12" w:history="1">
        <w:proofErr w:type="spellStart"/>
        <w:r w:rsidR="00BD7E5D" w:rsidRPr="00882905">
          <w:rPr>
            <w:rStyle w:val="Hyperlink"/>
            <w:rFonts w:cstheme="minorHAnsi"/>
            <w:lang w:val="fr-CA"/>
          </w:rPr>
          <w:t>Exposure</w:t>
        </w:r>
        <w:proofErr w:type="spellEnd"/>
        <w:r w:rsidR="00BD7E5D" w:rsidRPr="00882905">
          <w:rPr>
            <w:rStyle w:val="Hyperlink"/>
            <w:rFonts w:cstheme="minorHAnsi"/>
            <w:lang w:val="fr-CA"/>
          </w:rPr>
          <w:t xml:space="preserve"> Documents and Public Comment Documents (fasb.org)</w:t>
        </w:r>
      </w:hyperlink>
    </w:p>
    <w:p w14:paraId="5FFDBE8F" w14:textId="576D97F4" w:rsidR="00F02FD9" w:rsidRPr="00882905" w:rsidRDefault="00F02FD9" w:rsidP="00787394">
      <w:pPr>
        <w:spacing w:line="240" w:lineRule="auto"/>
        <w:jc w:val="both"/>
        <w:rPr>
          <w:rStyle w:val="Hyperlink"/>
          <w:rFonts w:cstheme="minorHAnsi"/>
          <w:lang w:val="fr-CA"/>
        </w:rPr>
      </w:pPr>
    </w:p>
    <w:tbl>
      <w:tblPr>
        <w:tblStyle w:val="TableGrid"/>
        <w:tblW w:w="0" w:type="auto"/>
        <w:tblLook w:val="04A0" w:firstRow="1" w:lastRow="0" w:firstColumn="1" w:lastColumn="0" w:noHBand="0" w:noVBand="1"/>
      </w:tblPr>
      <w:tblGrid>
        <w:gridCol w:w="5037"/>
        <w:gridCol w:w="5033"/>
      </w:tblGrid>
      <w:tr w:rsidR="00064022" w:rsidRPr="00C05397" w14:paraId="74B2FC84" w14:textId="77777777" w:rsidTr="004A0972">
        <w:tc>
          <w:tcPr>
            <w:tcW w:w="5037" w:type="dxa"/>
            <w:shd w:val="clear" w:color="auto" w:fill="C6D9F1" w:themeFill="text2" w:themeFillTint="33"/>
            <w:vAlign w:val="center"/>
          </w:tcPr>
          <w:p w14:paraId="35093D33" w14:textId="77777777" w:rsidR="00064022" w:rsidRPr="00C05397" w:rsidRDefault="00064022" w:rsidP="008C72B5">
            <w:pPr>
              <w:jc w:val="center"/>
              <w:rPr>
                <w:rFonts w:eastAsia="Times New Roman" w:cstheme="minorHAnsi"/>
                <w:b/>
                <w:color w:val="FF0000"/>
              </w:rPr>
            </w:pPr>
            <w:r w:rsidRPr="00C05397">
              <w:rPr>
                <w:rFonts w:eastAsia="Times New Roman" w:cstheme="minorHAnsi"/>
                <w:b/>
              </w:rPr>
              <w:t>Exposed FASB Guidance</w:t>
            </w:r>
          </w:p>
        </w:tc>
        <w:tc>
          <w:tcPr>
            <w:tcW w:w="5033" w:type="dxa"/>
            <w:shd w:val="clear" w:color="auto" w:fill="C6D9F1" w:themeFill="text2" w:themeFillTint="33"/>
            <w:vAlign w:val="center"/>
          </w:tcPr>
          <w:p w14:paraId="3E7DA1BF" w14:textId="77777777" w:rsidR="00064022" w:rsidRPr="00C05397" w:rsidRDefault="00064022" w:rsidP="008C72B5">
            <w:pPr>
              <w:jc w:val="center"/>
              <w:rPr>
                <w:rFonts w:cstheme="minorHAnsi"/>
                <w:b/>
              </w:rPr>
            </w:pPr>
            <w:r w:rsidRPr="00C05397">
              <w:rPr>
                <w:rFonts w:cstheme="minorHAnsi"/>
                <w:b/>
              </w:rPr>
              <w:t>Comment Deadline &amp; Initial Staff Comments</w:t>
            </w:r>
          </w:p>
        </w:tc>
      </w:tr>
      <w:tr w:rsidR="004A0972" w:rsidRPr="00C05397" w14:paraId="61791DDA" w14:textId="77777777" w:rsidTr="007950A1">
        <w:trPr>
          <w:trHeight w:val="1070"/>
        </w:trPr>
        <w:tc>
          <w:tcPr>
            <w:tcW w:w="5037" w:type="dxa"/>
            <w:vAlign w:val="center"/>
          </w:tcPr>
          <w:p w14:paraId="5AA75F6B" w14:textId="23BEAFFA" w:rsidR="004A0972" w:rsidRPr="00C05397" w:rsidRDefault="002D33BF" w:rsidP="002D33BF">
            <w:pPr>
              <w:rPr>
                <w:rStyle w:val="Emphasis"/>
                <w:rFonts w:cstheme="minorHAnsi"/>
                <w:i w:val="0"/>
                <w:color w:val="FF0000"/>
                <w:highlight w:val="yellow"/>
              </w:rPr>
            </w:pPr>
            <w:r w:rsidRPr="00C05397">
              <w:rPr>
                <w:rFonts w:cstheme="minorHAnsi"/>
                <w:shd w:val="clear" w:color="auto" w:fill="FFFFFF"/>
              </w:rPr>
              <w:t xml:space="preserve">Derivatives and Hedging (Topic 815): </w:t>
            </w:r>
            <w:r w:rsidRPr="00A969F8">
              <w:rPr>
                <w:rFonts w:cstheme="minorHAnsi"/>
                <w:i/>
                <w:iCs/>
                <w:shd w:val="clear" w:color="auto" w:fill="FFFFFF"/>
              </w:rPr>
              <w:t>Targeted Improvements to Accounting for Interest Rate Risk Hedging and Net Investment Hedging</w:t>
            </w:r>
          </w:p>
        </w:tc>
        <w:tc>
          <w:tcPr>
            <w:tcW w:w="5033" w:type="dxa"/>
            <w:vAlign w:val="center"/>
          </w:tcPr>
          <w:p w14:paraId="62047E96" w14:textId="28E57C55" w:rsidR="004A0972" w:rsidRPr="00C05397" w:rsidRDefault="00522489" w:rsidP="00BD3D30">
            <w:pPr>
              <w:jc w:val="center"/>
              <w:rPr>
                <w:rFonts w:cstheme="minorHAnsi"/>
                <w:color w:val="FF0000"/>
                <w:highlight w:val="yellow"/>
              </w:rPr>
            </w:pPr>
            <w:r w:rsidRPr="00C05397">
              <w:rPr>
                <w:rFonts w:cstheme="minorHAnsi"/>
              </w:rPr>
              <w:t>August 1</w:t>
            </w:r>
            <w:r w:rsidR="002D33BF" w:rsidRPr="00C05397">
              <w:rPr>
                <w:rFonts w:cstheme="minorHAnsi"/>
              </w:rPr>
              <w:t>7</w:t>
            </w:r>
            <w:r w:rsidR="00EB31D4" w:rsidRPr="00C05397">
              <w:rPr>
                <w:rFonts w:cstheme="minorHAnsi"/>
              </w:rPr>
              <w:t>, 202</w:t>
            </w:r>
            <w:r w:rsidRPr="00C05397">
              <w:rPr>
                <w:rFonts w:cstheme="minorHAnsi"/>
              </w:rPr>
              <w:t>6</w:t>
            </w:r>
          </w:p>
        </w:tc>
      </w:tr>
    </w:tbl>
    <w:p w14:paraId="3E22CA17" w14:textId="77777777" w:rsidR="00AE0C7D" w:rsidRPr="00C05397" w:rsidRDefault="00AE0C7D" w:rsidP="0009671B">
      <w:pPr>
        <w:tabs>
          <w:tab w:val="center" w:pos="5040"/>
        </w:tabs>
        <w:spacing w:after="0" w:line="240" w:lineRule="auto"/>
        <w:jc w:val="both"/>
        <w:rPr>
          <w:rFonts w:cstheme="minorHAnsi"/>
          <w:b/>
          <w:bCs/>
          <w:color w:val="000000" w:themeColor="text1"/>
        </w:rPr>
      </w:pPr>
    </w:p>
    <w:p w14:paraId="015A87D5" w14:textId="496727A0" w:rsidR="00C9229D" w:rsidRDefault="009A499C" w:rsidP="00C9229D">
      <w:pPr>
        <w:tabs>
          <w:tab w:val="center" w:pos="5040"/>
        </w:tabs>
        <w:spacing w:after="0" w:line="240" w:lineRule="auto"/>
        <w:jc w:val="both"/>
        <w:rPr>
          <w:rFonts w:cstheme="minorHAnsi"/>
        </w:rPr>
      </w:pPr>
      <w:r w:rsidRPr="009A499C">
        <w:rPr>
          <w:rFonts w:cstheme="minorHAnsi"/>
        </w:rPr>
        <w:t>Th</w:t>
      </w:r>
      <w:r w:rsidR="00600D57">
        <w:rPr>
          <w:rFonts w:cstheme="minorHAnsi"/>
        </w:rPr>
        <w:t>e</w:t>
      </w:r>
      <w:r w:rsidRPr="009A499C">
        <w:rPr>
          <w:rFonts w:cstheme="minorHAnsi"/>
        </w:rPr>
        <w:t xml:space="preserve"> proposed </w:t>
      </w:r>
      <w:r w:rsidR="0079357E">
        <w:rPr>
          <w:rFonts w:cstheme="minorHAnsi"/>
        </w:rPr>
        <w:t>u</w:t>
      </w:r>
      <w:r w:rsidRPr="009A499C">
        <w:rPr>
          <w:rFonts w:cstheme="minorHAnsi"/>
        </w:rPr>
        <w:t>pdate is to address three discrete hedge accounting issues that have been identified by stakeholders. Each of the three issues relates to exceptions or limitations in the general hedge accounting model that restrict its application. The</w:t>
      </w:r>
      <w:r w:rsidR="00DD4942">
        <w:rPr>
          <w:rFonts w:cstheme="minorHAnsi"/>
        </w:rPr>
        <w:t xml:space="preserve"> Financial Accounting Standards Board (</w:t>
      </w:r>
      <w:r w:rsidRPr="009A499C">
        <w:rPr>
          <w:rFonts w:cstheme="minorHAnsi"/>
        </w:rPr>
        <w:t>Board</w:t>
      </w:r>
      <w:r w:rsidR="00DD4942">
        <w:rPr>
          <w:rFonts w:cstheme="minorHAnsi"/>
        </w:rPr>
        <w:t>)</w:t>
      </w:r>
      <w:r w:rsidRPr="009A499C">
        <w:rPr>
          <w:rFonts w:cstheme="minorHAnsi"/>
        </w:rPr>
        <w:t xml:space="preserve"> intends to broaden the application of hedge accounting by removing these exceptions and limitations.</w:t>
      </w:r>
      <w:r w:rsidR="00C958F0">
        <w:rPr>
          <w:rFonts w:cstheme="minorHAnsi"/>
        </w:rPr>
        <w:t xml:space="preserve"> </w:t>
      </w:r>
      <w:r w:rsidR="00C9229D" w:rsidRPr="00C9229D">
        <w:rPr>
          <w:rFonts w:cstheme="minorHAnsi"/>
        </w:rPr>
        <w:t>In response to the 2025 Invitation to Comment, Agenda Consultation (2025</w:t>
      </w:r>
      <w:r w:rsidR="00C9229D">
        <w:rPr>
          <w:rFonts w:cstheme="minorHAnsi"/>
        </w:rPr>
        <w:t xml:space="preserve"> </w:t>
      </w:r>
      <w:r w:rsidR="00C9229D" w:rsidRPr="00C9229D">
        <w:rPr>
          <w:rFonts w:cstheme="minorHAnsi"/>
        </w:rPr>
        <w:t>ITC), stakeholders provided feedback indicating that although the Board’s</w:t>
      </w:r>
      <w:r w:rsidR="00C9229D">
        <w:rPr>
          <w:rFonts w:cstheme="minorHAnsi"/>
        </w:rPr>
        <w:t xml:space="preserve"> </w:t>
      </w:r>
      <w:r w:rsidR="00C9229D" w:rsidRPr="00C9229D">
        <w:rPr>
          <w:rFonts w:cstheme="minorHAnsi"/>
        </w:rPr>
        <w:t>efforts to simplify hedge accounting over the last several years have been</w:t>
      </w:r>
      <w:r w:rsidR="00C9229D">
        <w:rPr>
          <w:rFonts w:cstheme="minorHAnsi"/>
        </w:rPr>
        <w:t xml:space="preserve"> </w:t>
      </w:r>
      <w:r w:rsidR="00C9229D" w:rsidRPr="00C9229D">
        <w:rPr>
          <w:rFonts w:cstheme="minorHAnsi"/>
        </w:rPr>
        <w:t>helpful in aligning financial reporting with the underlying economics of entities’</w:t>
      </w:r>
      <w:r w:rsidR="00C9229D">
        <w:rPr>
          <w:rFonts w:cstheme="minorHAnsi"/>
        </w:rPr>
        <w:t xml:space="preserve"> </w:t>
      </w:r>
      <w:r w:rsidR="00C9229D" w:rsidRPr="00C9229D">
        <w:rPr>
          <w:rFonts w:cstheme="minorHAnsi"/>
        </w:rPr>
        <w:t>risk management strategies, challenges remain in applying hedge accounting.</w:t>
      </w:r>
      <w:r w:rsidR="00C9229D">
        <w:rPr>
          <w:rFonts w:cstheme="minorHAnsi"/>
        </w:rPr>
        <w:t xml:space="preserve"> </w:t>
      </w:r>
      <w:proofErr w:type="gramStart"/>
      <w:r w:rsidR="00C9229D" w:rsidRPr="00C9229D">
        <w:rPr>
          <w:rFonts w:cstheme="minorHAnsi"/>
        </w:rPr>
        <w:t>In particular, stakeholders</w:t>
      </w:r>
      <w:proofErr w:type="gramEnd"/>
      <w:r w:rsidR="00C9229D" w:rsidRPr="00C9229D">
        <w:rPr>
          <w:rFonts w:cstheme="minorHAnsi"/>
        </w:rPr>
        <w:t xml:space="preserve"> emphasized three key aspects of hedge accounting</w:t>
      </w:r>
      <w:r w:rsidR="00C9229D">
        <w:rPr>
          <w:rFonts w:cstheme="minorHAnsi"/>
        </w:rPr>
        <w:t xml:space="preserve"> </w:t>
      </w:r>
      <w:r w:rsidR="00C9229D" w:rsidRPr="00C9229D">
        <w:rPr>
          <w:rFonts w:cstheme="minorHAnsi"/>
        </w:rPr>
        <w:t>guidance that could be improved with limited amendments to better reflect the</w:t>
      </w:r>
      <w:r w:rsidR="00C9229D">
        <w:rPr>
          <w:rFonts w:cstheme="minorHAnsi"/>
        </w:rPr>
        <w:t xml:space="preserve"> </w:t>
      </w:r>
      <w:r w:rsidR="00C9229D" w:rsidRPr="00C9229D">
        <w:rPr>
          <w:rFonts w:cstheme="minorHAnsi"/>
        </w:rPr>
        <w:t>economics of their risk management activities. Stakeholders also noted that</w:t>
      </w:r>
      <w:r w:rsidR="00C9229D">
        <w:rPr>
          <w:rFonts w:cstheme="minorHAnsi"/>
        </w:rPr>
        <w:t xml:space="preserve"> </w:t>
      </w:r>
      <w:r w:rsidR="00C9229D" w:rsidRPr="00C9229D">
        <w:rPr>
          <w:rFonts w:cstheme="minorHAnsi"/>
        </w:rPr>
        <w:t>some of these exceptions and limitations can constrain an entity’s risk</w:t>
      </w:r>
      <w:r w:rsidR="00C9229D">
        <w:rPr>
          <w:rFonts w:cstheme="minorHAnsi"/>
        </w:rPr>
        <w:t xml:space="preserve"> </w:t>
      </w:r>
      <w:r w:rsidR="00C9229D" w:rsidRPr="00C9229D">
        <w:rPr>
          <w:rFonts w:cstheme="minorHAnsi"/>
        </w:rPr>
        <w:t>management activities.</w:t>
      </w:r>
    </w:p>
    <w:p w14:paraId="72FE526F" w14:textId="77777777" w:rsidR="005A5F70" w:rsidRDefault="005A5F70" w:rsidP="00D7454E">
      <w:pPr>
        <w:tabs>
          <w:tab w:val="center" w:pos="5040"/>
        </w:tabs>
        <w:spacing w:after="0" w:line="240" w:lineRule="auto"/>
        <w:jc w:val="both"/>
        <w:rPr>
          <w:rFonts w:cstheme="minorHAnsi"/>
        </w:rPr>
      </w:pPr>
    </w:p>
    <w:p w14:paraId="384E42A8" w14:textId="459B5450" w:rsidR="00D7454E" w:rsidRDefault="00D7454E" w:rsidP="00D7454E">
      <w:pPr>
        <w:tabs>
          <w:tab w:val="center" w:pos="5040"/>
        </w:tabs>
        <w:spacing w:after="0" w:line="240" w:lineRule="auto"/>
        <w:jc w:val="both"/>
        <w:rPr>
          <w:rFonts w:cstheme="minorHAnsi"/>
        </w:rPr>
      </w:pPr>
      <w:r w:rsidRPr="00D7454E">
        <w:rPr>
          <w:rFonts w:cstheme="minorHAnsi"/>
        </w:rPr>
        <w:t>Issue 1: Hedging Interest Rate Risk for Held-to-Maturity</w:t>
      </w:r>
      <w:r>
        <w:rPr>
          <w:rFonts w:cstheme="minorHAnsi"/>
        </w:rPr>
        <w:t xml:space="preserve"> </w:t>
      </w:r>
      <w:r w:rsidRPr="00D7454E">
        <w:rPr>
          <w:rFonts w:cstheme="minorHAnsi"/>
        </w:rPr>
        <w:t>(HTM) Debt Securities</w:t>
      </w:r>
    </w:p>
    <w:p w14:paraId="549E78BF" w14:textId="77777777" w:rsidR="00D7454E" w:rsidRDefault="00D7454E" w:rsidP="00312DD0">
      <w:pPr>
        <w:tabs>
          <w:tab w:val="center" w:pos="5040"/>
        </w:tabs>
        <w:spacing w:after="0" w:line="240" w:lineRule="auto"/>
        <w:jc w:val="both"/>
        <w:rPr>
          <w:rFonts w:cstheme="minorHAnsi"/>
        </w:rPr>
      </w:pPr>
    </w:p>
    <w:p w14:paraId="53615585" w14:textId="2E8B3175" w:rsidR="00312DD0" w:rsidRDefault="00312DD0" w:rsidP="00312DD0">
      <w:pPr>
        <w:tabs>
          <w:tab w:val="center" w:pos="5040"/>
        </w:tabs>
        <w:spacing w:after="0" w:line="240" w:lineRule="auto"/>
        <w:jc w:val="both"/>
        <w:rPr>
          <w:rFonts w:cstheme="minorHAnsi"/>
        </w:rPr>
      </w:pPr>
      <w:r w:rsidRPr="00312DD0">
        <w:rPr>
          <w:rFonts w:cstheme="minorHAnsi"/>
        </w:rPr>
        <w:t>The amendments in th</w:t>
      </w:r>
      <w:r w:rsidR="00600D57">
        <w:rPr>
          <w:rFonts w:cstheme="minorHAnsi"/>
        </w:rPr>
        <w:t>e</w:t>
      </w:r>
      <w:r w:rsidRPr="00312DD0">
        <w:rPr>
          <w:rFonts w:cstheme="minorHAnsi"/>
        </w:rPr>
        <w:t xml:space="preserve"> proposed </w:t>
      </w:r>
      <w:r w:rsidR="00D4776B">
        <w:rPr>
          <w:rFonts w:cstheme="minorHAnsi"/>
        </w:rPr>
        <w:t>u</w:t>
      </w:r>
      <w:r w:rsidRPr="00312DD0">
        <w:rPr>
          <w:rFonts w:cstheme="minorHAnsi"/>
        </w:rPr>
        <w:t>pdate would permit an entity to hedge</w:t>
      </w:r>
      <w:r>
        <w:rPr>
          <w:rFonts w:cstheme="minorHAnsi"/>
        </w:rPr>
        <w:t xml:space="preserve"> </w:t>
      </w:r>
      <w:r w:rsidRPr="00312DD0">
        <w:rPr>
          <w:rFonts w:cstheme="minorHAnsi"/>
        </w:rPr>
        <w:t>interest rate risk for HTM debt securities in fair value hedges and cash flow</w:t>
      </w:r>
      <w:r>
        <w:rPr>
          <w:rFonts w:cstheme="minorHAnsi"/>
        </w:rPr>
        <w:t xml:space="preserve"> </w:t>
      </w:r>
      <w:r w:rsidRPr="00312DD0">
        <w:rPr>
          <w:rFonts w:cstheme="minorHAnsi"/>
        </w:rPr>
        <w:t>hedges. Under current GAAP, entities cannot designate the interest rate risk of</w:t>
      </w:r>
      <w:r>
        <w:rPr>
          <w:rFonts w:cstheme="minorHAnsi"/>
        </w:rPr>
        <w:t xml:space="preserve"> </w:t>
      </w:r>
      <w:r w:rsidRPr="00312DD0">
        <w:rPr>
          <w:rFonts w:cstheme="minorHAnsi"/>
        </w:rPr>
        <w:t>HTM debt securities as the hedged risk. The proposed amendments would</w:t>
      </w:r>
      <w:r>
        <w:rPr>
          <w:rFonts w:cstheme="minorHAnsi"/>
        </w:rPr>
        <w:t xml:space="preserve"> </w:t>
      </w:r>
      <w:r w:rsidRPr="00312DD0">
        <w:rPr>
          <w:rFonts w:cstheme="minorHAnsi"/>
        </w:rPr>
        <w:t>improve GAAP by enabling entities to more closely align hedge accounting with</w:t>
      </w:r>
      <w:r>
        <w:rPr>
          <w:rFonts w:cstheme="minorHAnsi"/>
        </w:rPr>
        <w:t xml:space="preserve"> </w:t>
      </w:r>
      <w:r w:rsidRPr="00312DD0">
        <w:rPr>
          <w:rFonts w:cstheme="minorHAnsi"/>
        </w:rPr>
        <w:t>the economics of their risk management activities. As a result, entities would</w:t>
      </w:r>
      <w:r>
        <w:rPr>
          <w:rFonts w:cstheme="minorHAnsi"/>
        </w:rPr>
        <w:t xml:space="preserve"> </w:t>
      </w:r>
      <w:r w:rsidRPr="00312DD0">
        <w:rPr>
          <w:rFonts w:cstheme="minorHAnsi"/>
        </w:rPr>
        <w:t>be able to more consistently reflect their risk management strategies in the</w:t>
      </w:r>
      <w:r>
        <w:rPr>
          <w:rFonts w:cstheme="minorHAnsi"/>
        </w:rPr>
        <w:t xml:space="preserve"> </w:t>
      </w:r>
      <w:r w:rsidRPr="00312DD0">
        <w:rPr>
          <w:rFonts w:cstheme="minorHAnsi"/>
        </w:rPr>
        <w:t>financial information provided to investors. The proposed amendments also</w:t>
      </w:r>
      <w:r>
        <w:rPr>
          <w:rFonts w:cstheme="minorHAnsi"/>
        </w:rPr>
        <w:t xml:space="preserve"> </w:t>
      </w:r>
      <w:r w:rsidRPr="00312DD0">
        <w:rPr>
          <w:rFonts w:cstheme="minorHAnsi"/>
        </w:rPr>
        <w:t xml:space="preserve">would </w:t>
      </w:r>
      <w:proofErr w:type="gramStart"/>
      <w:r w:rsidRPr="00312DD0">
        <w:rPr>
          <w:rFonts w:cstheme="minorHAnsi"/>
        </w:rPr>
        <w:t>more closely</w:t>
      </w:r>
      <w:proofErr w:type="gramEnd"/>
      <w:r w:rsidRPr="00312DD0">
        <w:rPr>
          <w:rFonts w:cstheme="minorHAnsi"/>
        </w:rPr>
        <w:t xml:space="preserve"> align the application of hedge accounting to HTM debt</w:t>
      </w:r>
      <w:r>
        <w:rPr>
          <w:rFonts w:cstheme="minorHAnsi"/>
        </w:rPr>
        <w:t xml:space="preserve"> </w:t>
      </w:r>
      <w:r w:rsidRPr="00312DD0">
        <w:rPr>
          <w:rFonts w:cstheme="minorHAnsi"/>
        </w:rPr>
        <w:t>securities with the application of hedge accounting to held-for-investment loans</w:t>
      </w:r>
      <w:r>
        <w:rPr>
          <w:rFonts w:cstheme="minorHAnsi"/>
        </w:rPr>
        <w:t xml:space="preserve"> </w:t>
      </w:r>
      <w:r w:rsidRPr="00312DD0">
        <w:rPr>
          <w:rFonts w:cstheme="minorHAnsi"/>
        </w:rPr>
        <w:t>and with guidance in International Financial Reporting Standards (IFRS)</w:t>
      </w:r>
      <w:r>
        <w:rPr>
          <w:rFonts w:cstheme="minorHAnsi"/>
        </w:rPr>
        <w:t xml:space="preserve"> </w:t>
      </w:r>
      <w:r w:rsidRPr="00312DD0">
        <w:rPr>
          <w:rFonts w:cstheme="minorHAnsi"/>
        </w:rPr>
        <w:t>Accounting Standards.</w:t>
      </w:r>
    </w:p>
    <w:p w14:paraId="4DC2D1B0" w14:textId="77777777" w:rsidR="00462982" w:rsidRDefault="00462982" w:rsidP="00312DD0">
      <w:pPr>
        <w:tabs>
          <w:tab w:val="center" w:pos="5040"/>
        </w:tabs>
        <w:spacing w:after="0" w:line="240" w:lineRule="auto"/>
        <w:jc w:val="both"/>
        <w:rPr>
          <w:rFonts w:cstheme="minorHAnsi"/>
        </w:rPr>
      </w:pPr>
    </w:p>
    <w:p w14:paraId="5971010A" w14:textId="36286B63" w:rsidR="00D7454E" w:rsidRDefault="004702B1" w:rsidP="004702B1">
      <w:pPr>
        <w:tabs>
          <w:tab w:val="center" w:pos="5040"/>
        </w:tabs>
        <w:spacing w:after="0" w:line="240" w:lineRule="auto"/>
        <w:jc w:val="both"/>
        <w:rPr>
          <w:rFonts w:cstheme="minorHAnsi"/>
        </w:rPr>
      </w:pPr>
      <w:r w:rsidRPr="004702B1">
        <w:rPr>
          <w:rFonts w:cstheme="minorHAnsi"/>
        </w:rPr>
        <w:t>Issue 2: Amendments to the Definition of the Secured</w:t>
      </w:r>
      <w:r>
        <w:rPr>
          <w:rFonts w:cstheme="minorHAnsi"/>
        </w:rPr>
        <w:t xml:space="preserve"> </w:t>
      </w:r>
      <w:r w:rsidRPr="004702B1">
        <w:rPr>
          <w:rFonts w:cstheme="minorHAnsi"/>
        </w:rPr>
        <w:t>Overnight Financing Rate (SOFR) Overnight Index Swap Rate</w:t>
      </w:r>
    </w:p>
    <w:p w14:paraId="75F99D86" w14:textId="77777777" w:rsidR="00D7454E" w:rsidRDefault="00D7454E" w:rsidP="00312DD0">
      <w:pPr>
        <w:tabs>
          <w:tab w:val="center" w:pos="5040"/>
        </w:tabs>
        <w:spacing w:after="0" w:line="240" w:lineRule="auto"/>
        <w:jc w:val="both"/>
        <w:rPr>
          <w:rFonts w:cstheme="minorHAnsi"/>
        </w:rPr>
      </w:pPr>
    </w:p>
    <w:p w14:paraId="1B79D999" w14:textId="5C1A74AF" w:rsidR="00462982" w:rsidRDefault="00462982" w:rsidP="00462982">
      <w:pPr>
        <w:tabs>
          <w:tab w:val="center" w:pos="5040"/>
        </w:tabs>
        <w:spacing w:after="0" w:line="240" w:lineRule="auto"/>
        <w:jc w:val="both"/>
        <w:rPr>
          <w:rFonts w:cstheme="minorHAnsi"/>
        </w:rPr>
      </w:pPr>
      <w:r w:rsidRPr="00462982">
        <w:rPr>
          <w:rFonts w:cstheme="minorHAnsi"/>
        </w:rPr>
        <w:lastRenderedPageBreak/>
        <w:t>The amendments in th</w:t>
      </w:r>
      <w:r w:rsidR="005A5F70">
        <w:rPr>
          <w:rFonts w:cstheme="minorHAnsi"/>
        </w:rPr>
        <w:t>e</w:t>
      </w:r>
      <w:r w:rsidRPr="00462982">
        <w:rPr>
          <w:rFonts w:cstheme="minorHAnsi"/>
        </w:rPr>
        <w:t xml:space="preserve"> proposed </w:t>
      </w:r>
      <w:r w:rsidR="005A5F70">
        <w:rPr>
          <w:rFonts w:cstheme="minorHAnsi"/>
        </w:rPr>
        <w:t>u</w:t>
      </w:r>
      <w:r w:rsidRPr="00462982">
        <w:rPr>
          <w:rFonts w:cstheme="minorHAnsi"/>
        </w:rPr>
        <w:t>pdate would amend the definition of the</w:t>
      </w:r>
      <w:r w:rsidR="004702B1">
        <w:rPr>
          <w:rFonts w:cstheme="minorHAnsi"/>
        </w:rPr>
        <w:t xml:space="preserve"> </w:t>
      </w:r>
      <w:r w:rsidRPr="00462982">
        <w:rPr>
          <w:rFonts w:cstheme="minorHAnsi"/>
        </w:rPr>
        <w:t>SOFR Overnight Index Swap Rate in current GAAP so that the overnight index</w:t>
      </w:r>
      <w:r w:rsidR="004702B1">
        <w:rPr>
          <w:rFonts w:cstheme="minorHAnsi"/>
        </w:rPr>
        <w:t xml:space="preserve"> </w:t>
      </w:r>
      <w:r w:rsidRPr="00462982">
        <w:rPr>
          <w:rFonts w:cstheme="minorHAnsi"/>
        </w:rPr>
        <w:t>swap rate would no longer be the only SOFR-based rate included as a U.S.</w:t>
      </w:r>
      <w:r w:rsidR="004702B1">
        <w:rPr>
          <w:rFonts w:cstheme="minorHAnsi"/>
        </w:rPr>
        <w:t xml:space="preserve"> </w:t>
      </w:r>
      <w:r w:rsidRPr="00462982">
        <w:rPr>
          <w:rFonts w:cstheme="minorHAnsi"/>
        </w:rPr>
        <w:t>benchmark interest rate under Topic 815, thereby permitting designation of any</w:t>
      </w:r>
      <w:r w:rsidR="004702B1">
        <w:rPr>
          <w:rFonts w:cstheme="minorHAnsi"/>
        </w:rPr>
        <w:t xml:space="preserve"> </w:t>
      </w:r>
      <w:r w:rsidRPr="00462982">
        <w:rPr>
          <w:rFonts w:cstheme="minorHAnsi"/>
        </w:rPr>
        <w:t>tenor of SOFR.</w:t>
      </w:r>
      <w:r w:rsidRPr="00462982">
        <w:t xml:space="preserve"> </w:t>
      </w:r>
      <w:r w:rsidRPr="00462982">
        <w:rPr>
          <w:rFonts w:cstheme="minorHAnsi"/>
        </w:rPr>
        <w:t>The amendments in th</w:t>
      </w:r>
      <w:r w:rsidR="005A5F70">
        <w:rPr>
          <w:rFonts w:cstheme="minorHAnsi"/>
        </w:rPr>
        <w:t>e</w:t>
      </w:r>
      <w:r w:rsidRPr="00462982">
        <w:rPr>
          <w:rFonts w:cstheme="minorHAnsi"/>
        </w:rPr>
        <w:t xml:space="preserve"> proposed </w:t>
      </w:r>
      <w:r w:rsidR="005A5F70">
        <w:rPr>
          <w:rFonts w:cstheme="minorHAnsi"/>
        </w:rPr>
        <w:t>u</w:t>
      </w:r>
      <w:r w:rsidRPr="00462982">
        <w:rPr>
          <w:rFonts w:cstheme="minorHAnsi"/>
        </w:rPr>
        <w:t>pdate would improve GAAP by more</w:t>
      </w:r>
      <w:r w:rsidR="004702B1">
        <w:rPr>
          <w:rFonts w:cstheme="minorHAnsi"/>
        </w:rPr>
        <w:t xml:space="preserve"> </w:t>
      </w:r>
      <w:r w:rsidRPr="00462982">
        <w:rPr>
          <w:rFonts w:cstheme="minorHAnsi"/>
        </w:rPr>
        <w:t>closely aligning hedge accounting with the economics of entities’ risk</w:t>
      </w:r>
      <w:r w:rsidR="004702B1">
        <w:rPr>
          <w:rFonts w:cstheme="minorHAnsi"/>
        </w:rPr>
        <w:t xml:space="preserve"> </w:t>
      </w:r>
      <w:r w:rsidRPr="00462982">
        <w:rPr>
          <w:rFonts w:cstheme="minorHAnsi"/>
        </w:rPr>
        <w:t xml:space="preserve">management activities. The proposed amendments also would </w:t>
      </w:r>
      <w:proofErr w:type="gramStart"/>
      <w:r w:rsidRPr="00462982">
        <w:rPr>
          <w:rFonts w:cstheme="minorHAnsi"/>
        </w:rPr>
        <w:t>more closely</w:t>
      </w:r>
      <w:proofErr w:type="gramEnd"/>
      <w:r w:rsidR="004702B1">
        <w:rPr>
          <w:rFonts w:cstheme="minorHAnsi"/>
        </w:rPr>
        <w:t xml:space="preserve"> </w:t>
      </w:r>
      <w:r w:rsidRPr="00462982">
        <w:rPr>
          <w:rFonts w:cstheme="minorHAnsi"/>
        </w:rPr>
        <w:t>align SOFR with the other rates included in the benchmark interest rate list that</w:t>
      </w:r>
      <w:r w:rsidR="004702B1">
        <w:rPr>
          <w:rFonts w:cstheme="minorHAnsi"/>
        </w:rPr>
        <w:t xml:space="preserve"> </w:t>
      </w:r>
      <w:r w:rsidRPr="00462982">
        <w:rPr>
          <w:rFonts w:cstheme="minorHAnsi"/>
        </w:rPr>
        <w:t>are not constrained to a particular tenor. Furthermore, the proposed</w:t>
      </w:r>
      <w:r w:rsidR="004702B1">
        <w:rPr>
          <w:rFonts w:cstheme="minorHAnsi"/>
        </w:rPr>
        <w:t xml:space="preserve"> </w:t>
      </w:r>
      <w:r w:rsidRPr="00462982">
        <w:rPr>
          <w:rFonts w:cstheme="minorHAnsi"/>
        </w:rPr>
        <w:t>amendments would better reflect market developments such as the increased</w:t>
      </w:r>
      <w:r w:rsidR="004702B1">
        <w:rPr>
          <w:rFonts w:cstheme="minorHAnsi"/>
        </w:rPr>
        <w:t xml:space="preserve"> </w:t>
      </w:r>
      <w:r w:rsidRPr="00462982">
        <w:rPr>
          <w:rFonts w:cstheme="minorHAnsi"/>
        </w:rPr>
        <w:t>use of Term SOFR. The proposed amendments would benefit entities that</w:t>
      </w:r>
      <w:r w:rsidR="004702B1">
        <w:rPr>
          <w:rFonts w:cstheme="minorHAnsi"/>
        </w:rPr>
        <w:t xml:space="preserve"> </w:t>
      </w:r>
      <w:r w:rsidRPr="00462982">
        <w:rPr>
          <w:rFonts w:cstheme="minorHAnsi"/>
        </w:rPr>
        <w:t>apply cash flow hedge accounting to (a) forecasted purchases or sales of fixed</w:t>
      </w:r>
      <w:r w:rsidR="004702B1">
        <w:rPr>
          <w:rFonts w:cstheme="minorHAnsi"/>
        </w:rPr>
        <w:t xml:space="preserve"> </w:t>
      </w:r>
      <w:r w:rsidRPr="00462982">
        <w:rPr>
          <w:rFonts w:cstheme="minorHAnsi"/>
        </w:rPr>
        <w:t>rate</w:t>
      </w:r>
      <w:r w:rsidR="004702B1">
        <w:rPr>
          <w:rFonts w:cstheme="minorHAnsi"/>
        </w:rPr>
        <w:t xml:space="preserve"> </w:t>
      </w:r>
      <w:r w:rsidRPr="00462982">
        <w:rPr>
          <w:rFonts w:cstheme="minorHAnsi"/>
        </w:rPr>
        <w:t>debt instruments by expanding the eligible rates to be designated and (b)</w:t>
      </w:r>
      <w:r w:rsidR="004702B1">
        <w:rPr>
          <w:rFonts w:cstheme="minorHAnsi"/>
        </w:rPr>
        <w:t xml:space="preserve"> </w:t>
      </w:r>
      <w:r w:rsidRPr="00462982">
        <w:rPr>
          <w:rFonts w:cstheme="minorHAnsi"/>
        </w:rPr>
        <w:t>forecasted issuances when entities have not yet determined whether they will</w:t>
      </w:r>
      <w:r w:rsidR="004702B1">
        <w:rPr>
          <w:rFonts w:cstheme="minorHAnsi"/>
        </w:rPr>
        <w:t xml:space="preserve"> </w:t>
      </w:r>
      <w:r w:rsidRPr="00462982">
        <w:rPr>
          <w:rFonts w:cstheme="minorHAnsi"/>
        </w:rPr>
        <w:t>issue fixed-rate or floating-rate debt by limiting the occurrence of missed</w:t>
      </w:r>
      <w:r w:rsidR="004702B1">
        <w:rPr>
          <w:rFonts w:cstheme="minorHAnsi"/>
        </w:rPr>
        <w:t xml:space="preserve"> </w:t>
      </w:r>
      <w:r w:rsidRPr="00462982">
        <w:rPr>
          <w:rFonts w:cstheme="minorHAnsi"/>
        </w:rPr>
        <w:t>forecasts. In addition, the proposed amendments would benefit entities that</w:t>
      </w:r>
      <w:r w:rsidR="004702B1">
        <w:rPr>
          <w:rFonts w:cstheme="minorHAnsi"/>
        </w:rPr>
        <w:t xml:space="preserve"> </w:t>
      </w:r>
      <w:r w:rsidRPr="00462982">
        <w:rPr>
          <w:rFonts w:cstheme="minorHAnsi"/>
        </w:rPr>
        <w:t>apply fair value hedge accounting to fixed-rate debt instruments by reducing</w:t>
      </w:r>
      <w:r w:rsidR="004702B1">
        <w:rPr>
          <w:rFonts w:cstheme="minorHAnsi"/>
        </w:rPr>
        <w:t xml:space="preserve"> </w:t>
      </w:r>
      <w:r w:rsidRPr="00462982">
        <w:rPr>
          <w:rFonts w:cstheme="minorHAnsi"/>
        </w:rPr>
        <w:t>the complexity of hedge effectiveness assessments.</w:t>
      </w:r>
    </w:p>
    <w:p w14:paraId="38CD9D5A" w14:textId="77777777" w:rsidR="00462982" w:rsidRDefault="00462982" w:rsidP="00462982">
      <w:pPr>
        <w:tabs>
          <w:tab w:val="center" w:pos="5040"/>
        </w:tabs>
        <w:spacing w:after="0" w:line="240" w:lineRule="auto"/>
        <w:jc w:val="both"/>
        <w:rPr>
          <w:rFonts w:cstheme="minorHAnsi"/>
        </w:rPr>
      </w:pPr>
    </w:p>
    <w:p w14:paraId="41682C96" w14:textId="0E57FDC1" w:rsidR="004702B1" w:rsidRDefault="004702B1" w:rsidP="004702B1">
      <w:pPr>
        <w:tabs>
          <w:tab w:val="center" w:pos="5040"/>
        </w:tabs>
        <w:spacing w:after="0" w:line="240" w:lineRule="auto"/>
        <w:jc w:val="both"/>
        <w:rPr>
          <w:rFonts w:cstheme="minorHAnsi"/>
        </w:rPr>
      </w:pPr>
      <w:r w:rsidRPr="004702B1">
        <w:rPr>
          <w:rFonts w:cstheme="minorHAnsi"/>
        </w:rPr>
        <w:t>Issue 3: Permitting Float-to-Float Cross-Currency Swaps with</w:t>
      </w:r>
      <w:r>
        <w:rPr>
          <w:rFonts w:cstheme="minorHAnsi"/>
        </w:rPr>
        <w:t xml:space="preserve"> </w:t>
      </w:r>
      <w:r w:rsidRPr="004702B1">
        <w:rPr>
          <w:rFonts w:cstheme="minorHAnsi"/>
        </w:rPr>
        <w:t>Different Reset Dates to Be Hedging Instruments in Net</w:t>
      </w:r>
      <w:r>
        <w:rPr>
          <w:rFonts w:cstheme="minorHAnsi"/>
        </w:rPr>
        <w:t xml:space="preserve"> </w:t>
      </w:r>
      <w:r w:rsidRPr="004702B1">
        <w:rPr>
          <w:rFonts w:cstheme="minorHAnsi"/>
        </w:rPr>
        <w:t>Investment Hedges</w:t>
      </w:r>
    </w:p>
    <w:p w14:paraId="4CE43C18" w14:textId="77777777" w:rsidR="004702B1" w:rsidRDefault="004702B1" w:rsidP="00C86840">
      <w:pPr>
        <w:tabs>
          <w:tab w:val="center" w:pos="5040"/>
        </w:tabs>
        <w:spacing w:after="0" w:line="240" w:lineRule="auto"/>
        <w:jc w:val="both"/>
        <w:rPr>
          <w:rFonts w:cstheme="minorHAnsi"/>
        </w:rPr>
      </w:pPr>
    </w:p>
    <w:p w14:paraId="6728CCEC" w14:textId="72849D44" w:rsidR="00462982" w:rsidRDefault="00C86840" w:rsidP="00C86840">
      <w:pPr>
        <w:tabs>
          <w:tab w:val="center" w:pos="5040"/>
        </w:tabs>
        <w:spacing w:after="0" w:line="240" w:lineRule="auto"/>
        <w:jc w:val="both"/>
        <w:rPr>
          <w:rFonts w:cstheme="minorHAnsi"/>
        </w:rPr>
      </w:pPr>
      <w:r w:rsidRPr="00C86840">
        <w:rPr>
          <w:rFonts w:cstheme="minorHAnsi"/>
        </w:rPr>
        <w:t>The amendments in th</w:t>
      </w:r>
      <w:r w:rsidR="005A5F70">
        <w:rPr>
          <w:rFonts w:cstheme="minorHAnsi"/>
        </w:rPr>
        <w:t>e</w:t>
      </w:r>
      <w:r w:rsidRPr="00C86840">
        <w:rPr>
          <w:rFonts w:cstheme="minorHAnsi"/>
        </w:rPr>
        <w:t xml:space="preserve"> proposed </w:t>
      </w:r>
      <w:r w:rsidR="005A5F70">
        <w:rPr>
          <w:rFonts w:cstheme="minorHAnsi"/>
        </w:rPr>
        <w:t>u</w:t>
      </w:r>
      <w:r w:rsidRPr="00C86840">
        <w:rPr>
          <w:rFonts w:cstheme="minorHAnsi"/>
        </w:rPr>
        <w:t>pdate would expand the population of</w:t>
      </w:r>
      <w:r w:rsidR="004702B1">
        <w:rPr>
          <w:rFonts w:cstheme="minorHAnsi"/>
        </w:rPr>
        <w:t xml:space="preserve"> </w:t>
      </w:r>
      <w:r w:rsidRPr="00C86840">
        <w:rPr>
          <w:rFonts w:cstheme="minorHAnsi"/>
        </w:rPr>
        <w:t>eligible net investment hedging instruments by permitting the use of certain</w:t>
      </w:r>
      <w:r w:rsidR="004702B1">
        <w:rPr>
          <w:rFonts w:cstheme="minorHAnsi"/>
        </w:rPr>
        <w:t xml:space="preserve"> </w:t>
      </w:r>
      <w:r w:rsidRPr="00C86840">
        <w:rPr>
          <w:rFonts w:cstheme="minorHAnsi"/>
        </w:rPr>
        <w:t>float-to-float cross-currency swaps with different reset dates. The proposed</w:t>
      </w:r>
      <w:r w:rsidR="004702B1">
        <w:rPr>
          <w:rFonts w:cstheme="minorHAnsi"/>
        </w:rPr>
        <w:t xml:space="preserve"> </w:t>
      </w:r>
      <w:r w:rsidRPr="00C86840">
        <w:rPr>
          <w:rFonts w:cstheme="minorHAnsi"/>
        </w:rPr>
        <w:t>amendments would eliminate the requirement that both legs of a float-to-float</w:t>
      </w:r>
      <w:r w:rsidR="004702B1">
        <w:rPr>
          <w:rFonts w:cstheme="minorHAnsi"/>
        </w:rPr>
        <w:t xml:space="preserve"> </w:t>
      </w:r>
      <w:r w:rsidRPr="00C86840">
        <w:rPr>
          <w:rFonts w:cstheme="minorHAnsi"/>
        </w:rPr>
        <w:t>cross-currency swap have the same repricing intervals and dates and, instead,</w:t>
      </w:r>
      <w:r w:rsidR="004702B1">
        <w:rPr>
          <w:rFonts w:cstheme="minorHAnsi"/>
        </w:rPr>
        <w:t xml:space="preserve"> </w:t>
      </w:r>
      <w:r w:rsidRPr="00C86840">
        <w:rPr>
          <w:rFonts w:cstheme="minorHAnsi"/>
        </w:rPr>
        <w:t>would require that the repricing intervals and dates occur every six months or</w:t>
      </w:r>
      <w:r w:rsidR="004702B1">
        <w:rPr>
          <w:rFonts w:cstheme="minorHAnsi"/>
        </w:rPr>
        <w:t xml:space="preserve"> </w:t>
      </w:r>
      <w:r w:rsidRPr="00C86840">
        <w:rPr>
          <w:rFonts w:cstheme="minorHAnsi"/>
        </w:rPr>
        <w:t>more frequently, which is considered sufficient to justify an assumption that the</w:t>
      </w:r>
      <w:r w:rsidR="004702B1">
        <w:rPr>
          <w:rFonts w:cstheme="minorHAnsi"/>
        </w:rPr>
        <w:t xml:space="preserve"> </w:t>
      </w:r>
      <w:r w:rsidRPr="00C86840">
        <w:rPr>
          <w:rFonts w:cstheme="minorHAnsi"/>
        </w:rPr>
        <w:t>variable payment or receipt is at a market rate. In addition, the proposed</w:t>
      </w:r>
      <w:r w:rsidR="004702B1">
        <w:rPr>
          <w:rFonts w:cstheme="minorHAnsi"/>
        </w:rPr>
        <w:t xml:space="preserve"> </w:t>
      </w:r>
      <w:r w:rsidRPr="00C86840">
        <w:rPr>
          <w:rFonts w:cstheme="minorHAnsi"/>
        </w:rPr>
        <w:t>amendments would update hedge effectiveness guidance to align the terms of</w:t>
      </w:r>
      <w:r w:rsidR="004702B1">
        <w:rPr>
          <w:rFonts w:cstheme="minorHAnsi"/>
        </w:rPr>
        <w:t xml:space="preserve"> </w:t>
      </w:r>
      <w:r w:rsidRPr="00C86840">
        <w:rPr>
          <w:rFonts w:cstheme="minorHAnsi"/>
        </w:rPr>
        <w:t>the hypothetical swap with the actual cross</w:t>
      </w:r>
      <w:r w:rsidRPr="00C86840">
        <w:rPr>
          <w:rFonts w:ascii="Cambria Math" w:hAnsi="Cambria Math" w:cs="Cambria Math"/>
        </w:rPr>
        <w:t>‑</w:t>
      </w:r>
      <w:r w:rsidRPr="00C86840">
        <w:rPr>
          <w:rFonts w:cstheme="minorHAnsi"/>
        </w:rPr>
        <w:t>currency interest rate swap as</w:t>
      </w:r>
      <w:r w:rsidR="004702B1">
        <w:rPr>
          <w:rFonts w:cstheme="minorHAnsi"/>
        </w:rPr>
        <w:t xml:space="preserve"> </w:t>
      </w:r>
      <w:r w:rsidRPr="00C86840">
        <w:rPr>
          <w:rFonts w:cstheme="minorHAnsi"/>
        </w:rPr>
        <w:t>modified by the proposed amendments related to repricing intervals and dates.</w:t>
      </w:r>
      <w:r w:rsidR="004702B1">
        <w:rPr>
          <w:rFonts w:cstheme="minorHAnsi"/>
        </w:rPr>
        <w:t xml:space="preserve"> </w:t>
      </w:r>
      <w:r w:rsidRPr="00C86840">
        <w:rPr>
          <w:rFonts w:cstheme="minorHAnsi"/>
        </w:rPr>
        <w:t>For those net investment hedges, the amendments in th</w:t>
      </w:r>
      <w:r w:rsidR="005A5F70">
        <w:rPr>
          <w:rFonts w:cstheme="minorHAnsi"/>
        </w:rPr>
        <w:t xml:space="preserve">e </w:t>
      </w:r>
      <w:r w:rsidRPr="00C86840">
        <w:rPr>
          <w:rFonts w:cstheme="minorHAnsi"/>
        </w:rPr>
        <w:t xml:space="preserve">proposed </w:t>
      </w:r>
      <w:r w:rsidR="005A5F70">
        <w:rPr>
          <w:rFonts w:cstheme="minorHAnsi"/>
        </w:rPr>
        <w:t>u</w:t>
      </w:r>
      <w:r w:rsidRPr="00C86840">
        <w:rPr>
          <w:rFonts w:cstheme="minorHAnsi"/>
        </w:rPr>
        <w:t>pdate</w:t>
      </w:r>
      <w:r w:rsidR="004702B1">
        <w:rPr>
          <w:rFonts w:cstheme="minorHAnsi"/>
        </w:rPr>
        <w:t xml:space="preserve"> </w:t>
      </w:r>
      <w:r w:rsidRPr="00C86840">
        <w:rPr>
          <w:rFonts w:cstheme="minorHAnsi"/>
        </w:rPr>
        <w:t>would improve the financial reporting of effective hedging relationships and</w:t>
      </w:r>
      <w:r w:rsidR="004702B1">
        <w:rPr>
          <w:rFonts w:cstheme="minorHAnsi"/>
        </w:rPr>
        <w:t xml:space="preserve"> </w:t>
      </w:r>
      <w:r w:rsidRPr="00C86840">
        <w:rPr>
          <w:rFonts w:cstheme="minorHAnsi"/>
        </w:rPr>
        <w:t>better reflect the economic results of an entity’s risk management activities in</w:t>
      </w:r>
      <w:r w:rsidR="004702B1">
        <w:rPr>
          <w:rFonts w:cstheme="minorHAnsi"/>
        </w:rPr>
        <w:t xml:space="preserve"> </w:t>
      </w:r>
      <w:r w:rsidRPr="00C86840">
        <w:rPr>
          <w:rFonts w:cstheme="minorHAnsi"/>
        </w:rPr>
        <w:t>its financial statements. The proposed amendments also would align GAAP</w:t>
      </w:r>
      <w:r w:rsidR="004702B1">
        <w:rPr>
          <w:rFonts w:cstheme="minorHAnsi"/>
        </w:rPr>
        <w:t xml:space="preserve"> </w:t>
      </w:r>
      <w:r w:rsidRPr="00C86840">
        <w:rPr>
          <w:rFonts w:cstheme="minorHAnsi"/>
        </w:rPr>
        <w:t xml:space="preserve">with the market conventions that have </w:t>
      </w:r>
      <w:proofErr w:type="gramStart"/>
      <w:r w:rsidRPr="00C86840">
        <w:rPr>
          <w:rFonts w:cstheme="minorHAnsi"/>
        </w:rPr>
        <w:t>developed</w:t>
      </w:r>
      <w:proofErr w:type="gramEnd"/>
      <w:r w:rsidRPr="00C86840">
        <w:rPr>
          <w:rFonts w:cstheme="minorHAnsi"/>
        </w:rPr>
        <w:t xml:space="preserve"> following the cessation of the</w:t>
      </w:r>
      <w:r w:rsidR="004702B1">
        <w:rPr>
          <w:rFonts w:cstheme="minorHAnsi"/>
        </w:rPr>
        <w:t xml:space="preserve"> </w:t>
      </w:r>
      <w:r w:rsidRPr="00C86840">
        <w:rPr>
          <w:rFonts w:cstheme="minorHAnsi"/>
        </w:rPr>
        <w:t>London Interbank Offered Rate (LIBOR).</w:t>
      </w:r>
    </w:p>
    <w:p w14:paraId="10EAB9AE" w14:textId="77777777" w:rsidR="005A5F70" w:rsidRPr="00C9229D" w:rsidRDefault="005A5F70" w:rsidP="00C86840">
      <w:pPr>
        <w:tabs>
          <w:tab w:val="center" w:pos="5040"/>
        </w:tabs>
        <w:spacing w:after="0" w:line="240" w:lineRule="auto"/>
        <w:jc w:val="both"/>
        <w:rPr>
          <w:rFonts w:cstheme="minorHAnsi"/>
        </w:rPr>
      </w:pPr>
    </w:p>
    <w:p w14:paraId="5F2A712D" w14:textId="6AF6DE55" w:rsidR="005A5F70" w:rsidRDefault="005A5F70" w:rsidP="005A5F70">
      <w:pPr>
        <w:tabs>
          <w:tab w:val="center" w:pos="5040"/>
        </w:tabs>
        <w:spacing w:after="0" w:line="240" w:lineRule="auto"/>
        <w:jc w:val="both"/>
        <w:rPr>
          <w:rFonts w:cstheme="minorHAnsi"/>
        </w:rPr>
      </w:pPr>
      <w:r w:rsidRPr="00C9229D">
        <w:rPr>
          <w:rFonts w:cstheme="minorHAnsi"/>
        </w:rPr>
        <w:t>To address stakeholders’ concerns and align with the objectives of the Board’s</w:t>
      </w:r>
      <w:r>
        <w:rPr>
          <w:rFonts w:cstheme="minorHAnsi"/>
        </w:rPr>
        <w:t xml:space="preserve"> </w:t>
      </w:r>
      <w:r w:rsidRPr="00C9229D">
        <w:rPr>
          <w:rFonts w:cstheme="minorHAnsi"/>
        </w:rPr>
        <w:t>recently completed hedging projects, in particular Accounting Standards</w:t>
      </w:r>
      <w:r>
        <w:rPr>
          <w:rFonts w:cstheme="minorHAnsi"/>
        </w:rPr>
        <w:t xml:space="preserve"> </w:t>
      </w:r>
      <w:r w:rsidRPr="00C9229D">
        <w:rPr>
          <w:rFonts w:cstheme="minorHAnsi"/>
        </w:rPr>
        <w:t>Update No. 2017-12, Derivatives and Hedging (Topic 815): Targeted</w:t>
      </w:r>
      <w:r>
        <w:rPr>
          <w:rFonts w:cstheme="minorHAnsi"/>
        </w:rPr>
        <w:t xml:space="preserve"> </w:t>
      </w:r>
      <w:r w:rsidRPr="00C9229D">
        <w:rPr>
          <w:rFonts w:cstheme="minorHAnsi"/>
        </w:rPr>
        <w:t>Improvements to Accounting for Hedging Activities, and Accounting Standards</w:t>
      </w:r>
      <w:r>
        <w:rPr>
          <w:rFonts w:cstheme="minorHAnsi"/>
        </w:rPr>
        <w:t xml:space="preserve"> </w:t>
      </w:r>
      <w:r w:rsidRPr="00C9229D">
        <w:rPr>
          <w:rFonts w:cstheme="minorHAnsi"/>
        </w:rPr>
        <w:t>Update No. 2025-09, Derivatives and Hedging (Topic 815): Hedge Accounting</w:t>
      </w:r>
      <w:r>
        <w:rPr>
          <w:rFonts w:cstheme="minorHAnsi"/>
        </w:rPr>
        <w:t xml:space="preserve"> </w:t>
      </w:r>
      <w:r w:rsidRPr="00C9229D">
        <w:rPr>
          <w:rFonts w:cstheme="minorHAnsi"/>
        </w:rPr>
        <w:t>Improvements, the amendments in th</w:t>
      </w:r>
      <w:r>
        <w:rPr>
          <w:rFonts w:cstheme="minorHAnsi"/>
        </w:rPr>
        <w:t>e</w:t>
      </w:r>
      <w:r w:rsidRPr="00C9229D">
        <w:rPr>
          <w:rFonts w:cstheme="minorHAnsi"/>
        </w:rPr>
        <w:t xml:space="preserve"> proposed </w:t>
      </w:r>
      <w:r>
        <w:rPr>
          <w:rFonts w:cstheme="minorHAnsi"/>
        </w:rPr>
        <w:t>u</w:t>
      </w:r>
      <w:r w:rsidRPr="00C9229D">
        <w:rPr>
          <w:rFonts w:cstheme="minorHAnsi"/>
        </w:rPr>
        <w:t>pdate are intended to better</w:t>
      </w:r>
      <w:r>
        <w:rPr>
          <w:rFonts w:cstheme="minorHAnsi"/>
        </w:rPr>
        <w:t xml:space="preserve"> </w:t>
      </w:r>
      <w:r w:rsidRPr="00C9229D">
        <w:rPr>
          <w:rFonts w:cstheme="minorHAnsi"/>
        </w:rPr>
        <w:t>reflect the economics of an entity’s risk management activities in its financial</w:t>
      </w:r>
      <w:r>
        <w:rPr>
          <w:rFonts w:cstheme="minorHAnsi"/>
        </w:rPr>
        <w:t xml:space="preserve"> </w:t>
      </w:r>
      <w:r w:rsidRPr="00C9229D">
        <w:rPr>
          <w:rFonts w:cstheme="minorHAnsi"/>
        </w:rPr>
        <w:t>statements. The proposed amendments also are intended to enhance the</w:t>
      </w:r>
      <w:r>
        <w:rPr>
          <w:rFonts w:cstheme="minorHAnsi"/>
        </w:rPr>
        <w:t xml:space="preserve"> </w:t>
      </w:r>
      <w:r w:rsidRPr="00C9229D">
        <w:rPr>
          <w:rFonts w:cstheme="minorHAnsi"/>
        </w:rPr>
        <w:t>operability of hedge accounting.</w:t>
      </w:r>
      <w:r>
        <w:rPr>
          <w:rFonts w:cstheme="minorHAnsi"/>
        </w:rPr>
        <w:t xml:space="preserve"> </w:t>
      </w:r>
      <w:r w:rsidRPr="00ED7A9C">
        <w:rPr>
          <w:rFonts w:cstheme="minorHAnsi"/>
        </w:rPr>
        <w:t>Application of the hedge accounting guidance is optional. The amendments in</w:t>
      </w:r>
      <w:r>
        <w:rPr>
          <w:rFonts w:cstheme="minorHAnsi"/>
        </w:rPr>
        <w:t xml:space="preserve"> </w:t>
      </w:r>
      <w:r w:rsidRPr="00ED7A9C">
        <w:rPr>
          <w:rFonts w:cstheme="minorHAnsi"/>
        </w:rPr>
        <w:t>th</w:t>
      </w:r>
      <w:r w:rsidR="00D4776B">
        <w:rPr>
          <w:rFonts w:cstheme="minorHAnsi"/>
        </w:rPr>
        <w:t>e</w:t>
      </w:r>
      <w:r w:rsidRPr="00ED7A9C">
        <w:rPr>
          <w:rFonts w:cstheme="minorHAnsi"/>
        </w:rPr>
        <w:t xml:space="preserve"> proposed </w:t>
      </w:r>
      <w:r w:rsidR="00D4776B">
        <w:rPr>
          <w:rFonts w:cstheme="minorHAnsi"/>
        </w:rPr>
        <w:t>u</w:t>
      </w:r>
      <w:r w:rsidRPr="00ED7A9C">
        <w:rPr>
          <w:rFonts w:cstheme="minorHAnsi"/>
        </w:rPr>
        <w:t>pdate would apply to any entity that elects to apply hedge</w:t>
      </w:r>
      <w:r>
        <w:rPr>
          <w:rFonts w:cstheme="minorHAnsi"/>
        </w:rPr>
        <w:t xml:space="preserve"> </w:t>
      </w:r>
      <w:r w:rsidRPr="00ED7A9C">
        <w:rPr>
          <w:rFonts w:cstheme="minorHAnsi"/>
        </w:rPr>
        <w:t>accounting in accordance with Topic 815.</w:t>
      </w:r>
    </w:p>
    <w:p w14:paraId="7B962556" w14:textId="77777777" w:rsidR="00986B3C" w:rsidRPr="00C05397" w:rsidRDefault="00986B3C" w:rsidP="0009671B">
      <w:pPr>
        <w:tabs>
          <w:tab w:val="center" w:pos="5040"/>
        </w:tabs>
        <w:spacing w:after="0" w:line="240" w:lineRule="auto"/>
        <w:jc w:val="both"/>
        <w:rPr>
          <w:rFonts w:cstheme="minorHAnsi"/>
          <w:color w:val="FF0000"/>
        </w:rPr>
      </w:pPr>
    </w:p>
    <w:p w14:paraId="32A4D974" w14:textId="77777777" w:rsidR="00F830E2" w:rsidRPr="00C86840" w:rsidRDefault="00F830E2" w:rsidP="00F830E2">
      <w:pPr>
        <w:spacing w:after="0" w:line="240" w:lineRule="auto"/>
        <w:jc w:val="both"/>
        <w:rPr>
          <w:rFonts w:cstheme="minorHAnsi"/>
          <w:b/>
          <w:u w:val="single"/>
        </w:rPr>
      </w:pPr>
      <w:r w:rsidRPr="00C86840">
        <w:rPr>
          <w:rFonts w:cstheme="minorHAnsi"/>
          <w:b/>
          <w:u w:val="single"/>
        </w:rPr>
        <w:t xml:space="preserve">Staff Review and Commentary: </w:t>
      </w:r>
    </w:p>
    <w:p w14:paraId="7936F2A1" w14:textId="77777777" w:rsidR="00F830E2" w:rsidRPr="00C86840" w:rsidRDefault="00F830E2" w:rsidP="00F830E2">
      <w:pPr>
        <w:spacing w:after="0" w:line="240" w:lineRule="auto"/>
        <w:jc w:val="both"/>
        <w:rPr>
          <w:rFonts w:cstheme="minorHAnsi"/>
          <w:b/>
          <w:u w:val="single"/>
        </w:rPr>
      </w:pPr>
    </w:p>
    <w:p w14:paraId="4C07133B" w14:textId="608F8A4D" w:rsidR="00F830E2" w:rsidRPr="00C86840" w:rsidRDefault="00F830E2" w:rsidP="00F830E2">
      <w:pPr>
        <w:tabs>
          <w:tab w:val="center" w:pos="5040"/>
        </w:tabs>
        <w:spacing w:after="0" w:line="240" w:lineRule="auto"/>
        <w:jc w:val="both"/>
        <w:rPr>
          <w:rFonts w:cstheme="minorHAnsi"/>
        </w:rPr>
      </w:pPr>
      <w:r w:rsidRPr="00C86840">
        <w:rPr>
          <w:rFonts w:cstheme="minorHAnsi"/>
        </w:rPr>
        <w:t xml:space="preserve">Comment deadline is </w:t>
      </w:r>
      <w:r w:rsidR="00C86840" w:rsidRPr="00C86840">
        <w:rPr>
          <w:rFonts w:cstheme="minorHAnsi"/>
        </w:rPr>
        <w:t>August 17</w:t>
      </w:r>
      <w:r w:rsidRPr="00C86840">
        <w:rPr>
          <w:rFonts w:cstheme="minorHAnsi"/>
        </w:rPr>
        <w:t>, 202</w:t>
      </w:r>
      <w:r w:rsidR="00C86840" w:rsidRPr="00C86840">
        <w:rPr>
          <w:rFonts w:cstheme="minorHAnsi"/>
        </w:rPr>
        <w:t>6</w:t>
      </w:r>
    </w:p>
    <w:p w14:paraId="4679AB4E" w14:textId="77777777" w:rsidR="00F830E2" w:rsidRPr="00C86840" w:rsidRDefault="00F830E2" w:rsidP="00F830E2">
      <w:pPr>
        <w:tabs>
          <w:tab w:val="center" w:pos="5040"/>
        </w:tabs>
        <w:spacing w:after="0" w:line="240" w:lineRule="auto"/>
        <w:jc w:val="both"/>
        <w:rPr>
          <w:rFonts w:cstheme="minorHAnsi"/>
        </w:rPr>
      </w:pPr>
    </w:p>
    <w:p w14:paraId="44ADA641" w14:textId="77777777" w:rsidR="00F830E2" w:rsidRPr="00C86840" w:rsidRDefault="00F830E2" w:rsidP="00F830E2">
      <w:pPr>
        <w:tabs>
          <w:tab w:val="center" w:pos="5040"/>
        </w:tabs>
        <w:spacing w:after="0" w:line="240" w:lineRule="auto"/>
        <w:jc w:val="both"/>
        <w:rPr>
          <w:rFonts w:cstheme="minorHAnsi"/>
          <w:iCs/>
        </w:rPr>
      </w:pPr>
      <w:r w:rsidRPr="00C86840">
        <w:rPr>
          <w:rFonts w:cstheme="minorHAnsi"/>
        </w:rPr>
        <w:t xml:space="preserve">NAIC staff recommend that ASU be reviewed under the SAP Maintenance Process as detailed in </w:t>
      </w:r>
      <w:r w:rsidRPr="00C86840">
        <w:rPr>
          <w:rFonts w:cstheme="minorHAnsi"/>
          <w:i/>
        </w:rPr>
        <w:t xml:space="preserve">Appendix F—Policy Statements. </w:t>
      </w:r>
    </w:p>
    <w:p w14:paraId="1FA9B306" w14:textId="77777777" w:rsidR="00EA3EF6" w:rsidRDefault="00EA3EF6" w:rsidP="00EA3EF6">
      <w:pPr>
        <w:spacing w:line="240" w:lineRule="auto"/>
        <w:jc w:val="both"/>
        <w:rPr>
          <w:rStyle w:val="Hyperlink"/>
          <w:rFonts w:cstheme="minorHAnsi"/>
        </w:rPr>
      </w:pPr>
    </w:p>
    <w:p w14:paraId="37898FF0" w14:textId="77777777" w:rsidR="00FD7A0E" w:rsidRPr="00C05397" w:rsidRDefault="00FD7A0E" w:rsidP="00EA3EF6">
      <w:pPr>
        <w:spacing w:line="240" w:lineRule="auto"/>
        <w:jc w:val="both"/>
        <w:rPr>
          <w:rStyle w:val="Hyperlink"/>
          <w:rFonts w:cstheme="minorHAnsi"/>
        </w:rPr>
      </w:pPr>
    </w:p>
    <w:tbl>
      <w:tblPr>
        <w:tblStyle w:val="TableGrid"/>
        <w:tblW w:w="0" w:type="auto"/>
        <w:tblLook w:val="04A0" w:firstRow="1" w:lastRow="0" w:firstColumn="1" w:lastColumn="0" w:noHBand="0" w:noVBand="1"/>
      </w:tblPr>
      <w:tblGrid>
        <w:gridCol w:w="5037"/>
        <w:gridCol w:w="5033"/>
      </w:tblGrid>
      <w:tr w:rsidR="00EA3EF6" w:rsidRPr="00C05397" w14:paraId="591432F4" w14:textId="77777777" w:rsidTr="008C72B5">
        <w:tc>
          <w:tcPr>
            <w:tcW w:w="5037" w:type="dxa"/>
            <w:shd w:val="clear" w:color="auto" w:fill="C6D9F1" w:themeFill="text2" w:themeFillTint="33"/>
            <w:vAlign w:val="center"/>
          </w:tcPr>
          <w:p w14:paraId="4C45A347" w14:textId="77777777" w:rsidR="00EA3EF6" w:rsidRPr="00C05397" w:rsidRDefault="00EA3EF6" w:rsidP="008C72B5">
            <w:pPr>
              <w:jc w:val="center"/>
              <w:rPr>
                <w:rFonts w:eastAsia="Times New Roman" w:cstheme="minorHAnsi"/>
                <w:b/>
                <w:color w:val="FF0000"/>
              </w:rPr>
            </w:pPr>
            <w:r w:rsidRPr="00C05397">
              <w:rPr>
                <w:rFonts w:eastAsia="Times New Roman" w:cstheme="minorHAnsi"/>
                <w:b/>
              </w:rPr>
              <w:lastRenderedPageBreak/>
              <w:t>Exposed FASB Guidance</w:t>
            </w:r>
          </w:p>
        </w:tc>
        <w:tc>
          <w:tcPr>
            <w:tcW w:w="5033" w:type="dxa"/>
            <w:shd w:val="clear" w:color="auto" w:fill="C6D9F1" w:themeFill="text2" w:themeFillTint="33"/>
            <w:vAlign w:val="center"/>
          </w:tcPr>
          <w:p w14:paraId="2695BA2E" w14:textId="77777777" w:rsidR="00EA3EF6" w:rsidRPr="00C05397" w:rsidRDefault="00EA3EF6" w:rsidP="008C72B5">
            <w:pPr>
              <w:jc w:val="center"/>
              <w:rPr>
                <w:rFonts w:cstheme="minorHAnsi"/>
                <w:b/>
              </w:rPr>
            </w:pPr>
            <w:r w:rsidRPr="00C05397">
              <w:rPr>
                <w:rFonts w:cstheme="minorHAnsi"/>
                <w:b/>
              </w:rPr>
              <w:t>Comment Deadline &amp; Initial Staff Comments</w:t>
            </w:r>
          </w:p>
        </w:tc>
      </w:tr>
      <w:tr w:rsidR="00EA3EF6" w:rsidRPr="00C05397" w14:paraId="5BF83669" w14:textId="77777777" w:rsidTr="008C72B5">
        <w:trPr>
          <w:trHeight w:val="1070"/>
        </w:trPr>
        <w:tc>
          <w:tcPr>
            <w:tcW w:w="5037" w:type="dxa"/>
            <w:vAlign w:val="center"/>
          </w:tcPr>
          <w:p w14:paraId="76F395FA" w14:textId="6571E023" w:rsidR="00EA3EF6" w:rsidRPr="00C05397" w:rsidRDefault="004624CA" w:rsidP="00F336BC">
            <w:pPr>
              <w:rPr>
                <w:rStyle w:val="Emphasis"/>
                <w:rFonts w:cstheme="minorHAnsi"/>
                <w:i w:val="0"/>
                <w:color w:val="FF0000"/>
                <w:highlight w:val="yellow"/>
              </w:rPr>
            </w:pPr>
            <w:r w:rsidRPr="00C05397">
              <w:rPr>
                <w:rFonts w:cstheme="minorHAnsi"/>
                <w:shd w:val="clear" w:color="auto" w:fill="FCFCFC"/>
              </w:rPr>
              <w:t xml:space="preserve">Compensation—Retirement Benefits—Defined Benefit Plans—Pension (Subtopic 715-30): </w:t>
            </w:r>
            <w:r w:rsidRPr="00A969F8">
              <w:rPr>
                <w:rFonts w:cstheme="minorHAnsi"/>
                <w:i/>
                <w:iCs/>
                <w:shd w:val="clear" w:color="auto" w:fill="FCFCFC"/>
              </w:rPr>
              <w:t>Discount Rate Used to Measure the Benefit Obligation for Certain Market-Return Cash Balance Plans</w:t>
            </w:r>
          </w:p>
        </w:tc>
        <w:tc>
          <w:tcPr>
            <w:tcW w:w="5033" w:type="dxa"/>
            <w:vAlign w:val="center"/>
          </w:tcPr>
          <w:p w14:paraId="79CD81C4" w14:textId="47F7521E" w:rsidR="00EA3EF6" w:rsidRPr="00C05397" w:rsidRDefault="00F336BC" w:rsidP="008C72B5">
            <w:pPr>
              <w:jc w:val="center"/>
              <w:rPr>
                <w:rFonts w:cstheme="minorHAnsi"/>
                <w:color w:val="FF0000"/>
                <w:highlight w:val="yellow"/>
              </w:rPr>
            </w:pPr>
            <w:r w:rsidRPr="00C05397">
              <w:rPr>
                <w:rFonts w:cstheme="minorHAnsi"/>
              </w:rPr>
              <w:t>August 1</w:t>
            </w:r>
            <w:r w:rsidR="002D33BF" w:rsidRPr="00C05397">
              <w:rPr>
                <w:rFonts w:cstheme="minorHAnsi"/>
              </w:rPr>
              <w:t>0</w:t>
            </w:r>
            <w:r w:rsidR="00EA3EF6" w:rsidRPr="00C05397">
              <w:rPr>
                <w:rFonts w:cstheme="minorHAnsi"/>
              </w:rPr>
              <w:t>, 202</w:t>
            </w:r>
            <w:r w:rsidRPr="00C05397">
              <w:rPr>
                <w:rFonts w:cstheme="minorHAnsi"/>
              </w:rPr>
              <w:t>6</w:t>
            </w:r>
          </w:p>
        </w:tc>
      </w:tr>
    </w:tbl>
    <w:p w14:paraId="4A014818" w14:textId="77777777" w:rsidR="00EB4979" w:rsidRPr="00C05397" w:rsidRDefault="00EB4979" w:rsidP="004A733A">
      <w:pPr>
        <w:spacing w:after="0" w:line="240" w:lineRule="auto"/>
        <w:jc w:val="both"/>
        <w:rPr>
          <w:rFonts w:cstheme="minorHAnsi"/>
          <w:color w:val="FF0000"/>
        </w:rPr>
      </w:pPr>
    </w:p>
    <w:p w14:paraId="2F162080" w14:textId="18864165" w:rsidR="009645CA" w:rsidRPr="00CC28D0" w:rsidRDefault="000B755D" w:rsidP="00CC28D0">
      <w:pPr>
        <w:spacing w:after="0" w:line="240" w:lineRule="auto"/>
        <w:jc w:val="both"/>
        <w:rPr>
          <w:rFonts w:cstheme="minorHAnsi"/>
        </w:rPr>
      </w:pPr>
      <w:r w:rsidRPr="000B755D">
        <w:rPr>
          <w:rFonts w:cstheme="minorHAnsi"/>
        </w:rPr>
        <w:t xml:space="preserve">The proposed </w:t>
      </w:r>
      <w:r w:rsidR="008A2A3B">
        <w:rPr>
          <w:rFonts w:cstheme="minorHAnsi"/>
        </w:rPr>
        <w:t>u</w:t>
      </w:r>
      <w:r w:rsidRPr="000B755D">
        <w:rPr>
          <w:rFonts w:cstheme="minorHAnsi"/>
        </w:rPr>
        <w:t>pdate</w:t>
      </w:r>
      <w:r w:rsidR="008A2A3B">
        <w:rPr>
          <w:rFonts w:cstheme="minorHAnsi"/>
        </w:rPr>
        <w:t xml:space="preserve"> is</w:t>
      </w:r>
      <w:r w:rsidRPr="000B755D">
        <w:rPr>
          <w:rFonts w:cstheme="minorHAnsi"/>
        </w:rPr>
        <w:t xml:space="preserve"> to clarify the discount rate that</w:t>
      </w:r>
      <w:r w:rsidR="00F366D3">
        <w:rPr>
          <w:rFonts w:cstheme="minorHAnsi"/>
        </w:rPr>
        <w:t xml:space="preserve"> </w:t>
      </w:r>
      <w:r w:rsidRPr="000B755D">
        <w:rPr>
          <w:rFonts w:cstheme="minorHAnsi"/>
        </w:rPr>
        <w:t>should be used to measure the benefit obligation under Subtopic 715-30,</w:t>
      </w:r>
      <w:r w:rsidR="00F366D3">
        <w:rPr>
          <w:rFonts w:cstheme="minorHAnsi"/>
        </w:rPr>
        <w:t xml:space="preserve"> </w:t>
      </w:r>
      <w:r w:rsidRPr="000B755D">
        <w:rPr>
          <w:rFonts w:cstheme="minorHAnsi"/>
        </w:rPr>
        <w:t>Compensation—Retirement Benefits—Defined Benefit Plans—Pension, for</w:t>
      </w:r>
      <w:r w:rsidR="00F366D3">
        <w:rPr>
          <w:rFonts w:cstheme="minorHAnsi"/>
        </w:rPr>
        <w:t xml:space="preserve"> </w:t>
      </w:r>
      <w:r w:rsidRPr="000B755D">
        <w:rPr>
          <w:rFonts w:cstheme="minorHAnsi"/>
        </w:rPr>
        <w:t>certain market-return cash balance plans.</w:t>
      </w:r>
      <w:r w:rsidR="008A2A3B">
        <w:rPr>
          <w:rFonts w:cstheme="minorHAnsi"/>
        </w:rPr>
        <w:t xml:space="preserve"> </w:t>
      </w:r>
      <w:r w:rsidR="00CC28D0" w:rsidRPr="00CC28D0">
        <w:rPr>
          <w:rFonts w:cstheme="minorHAnsi"/>
        </w:rPr>
        <w:t>Market-return cash balance plans are a type of cash balance plan with a</w:t>
      </w:r>
      <w:r w:rsidR="008A3C13">
        <w:rPr>
          <w:rFonts w:cstheme="minorHAnsi"/>
        </w:rPr>
        <w:t xml:space="preserve"> </w:t>
      </w:r>
      <w:r w:rsidR="00CC28D0" w:rsidRPr="00CC28D0">
        <w:rPr>
          <w:rFonts w:cstheme="minorHAnsi"/>
        </w:rPr>
        <w:t>variable interest crediting rate based on an investable market return. In a</w:t>
      </w:r>
      <w:r w:rsidR="008A3C13">
        <w:rPr>
          <w:rFonts w:cstheme="minorHAnsi"/>
        </w:rPr>
        <w:t xml:space="preserve"> </w:t>
      </w:r>
      <w:r w:rsidR="00CC28D0" w:rsidRPr="00CC28D0">
        <w:rPr>
          <w:rFonts w:cstheme="minorHAnsi"/>
        </w:rPr>
        <w:t>market-return cash balance plan, the promised benefit to the participant at</w:t>
      </w:r>
      <w:r w:rsidR="008A3C13">
        <w:rPr>
          <w:rFonts w:cstheme="minorHAnsi"/>
        </w:rPr>
        <w:t xml:space="preserve"> </w:t>
      </w:r>
      <w:r w:rsidR="00CC28D0" w:rsidRPr="00CC28D0">
        <w:rPr>
          <w:rFonts w:cstheme="minorHAnsi"/>
        </w:rPr>
        <w:t>retirement (or termination) is equal to the principal credits and interest credits,</w:t>
      </w:r>
      <w:r w:rsidR="008A3C13">
        <w:rPr>
          <w:rFonts w:cstheme="minorHAnsi"/>
        </w:rPr>
        <w:t xml:space="preserve"> </w:t>
      </w:r>
      <w:r w:rsidR="00CC28D0" w:rsidRPr="00CC28D0">
        <w:rPr>
          <w:rFonts w:cstheme="minorHAnsi"/>
        </w:rPr>
        <w:t>which could be the actual investment returns on the principal credits, subject</w:t>
      </w:r>
      <w:r w:rsidR="008A3C13">
        <w:rPr>
          <w:rFonts w:cstheme="minorHAnsi"/>
        </w:rPr>
        <w:t xml:space="preserve"> </w:t>
      </w:r>
      <w:r w:rsidR="00CC28D0" w:rsidRPr="00CC28D0">
        <w:rPr>
          <w:rFonts w:cstheme="minorHAnsi"/>
        </w:rPr>
        <w:t>to certain requirements. Stakeholders noted that (1) there are different</w:t>
      </w:r>
      <w:r w:rsidR="008A3C13">
        <w:rPr>
          <w:rFonts w:cstheme="minorHAnsi"/>
        </w:rPr>
        <w:t xml:space="preserve"> </w:t>
      </w:r>
      <w:r w:rsidR="00CC28D0" w:rsidRPr="00CC28D0">
        <w:rPr>
          <w:rFonts w:cstheme="minorHAnsi"/>
        </w:rPr>
        <w:t>interpretations in practice about how the measurement guidance in Subtopic</w:t>
      </w:r>
      <w:r w:rsidR="008A3C13">
        <w:rPr>
          <w:rFonts w:cstheme="minorHAnsi"/>
        </w:rPr>
        <w:t xml:space="preserve"> </w:t>
      </w:r>
      <w:r w:rsidR="00CC28D0" w:rsidRPr="00CC28D0">
        <w:rPr>
          <w:rFonts w:cstheme="minorHAnsi"/>
        </w:rPr>
        <w:t>715-30 should be applied to market-return cash balance plans and (2) the</w:t>
      </w:r>
      <w:r w:rsidR="008A3C13">
        <w:rPr>
          <w:rFonts w:cstheme="minorHAnsi"/>
        </w:rPr>
        <w:t xml:space="preserve"> </w:t>
      </w:r>
      <w:r w:rsidR="00CC28D0" w:rsidRPr="00CC28D0">
        <w:rPr>
          <w:rFonts w:cstheme="minorHAnsi"/>
        </w:rPr>
        <w:t>accounting may not reflect the economics of those plans. When an entity uses</w:t>
      </w:r>
      <w:r w:rsidR="008A3C13">
        <w:rPr>
          <w:rFonts w:cstheme="minorHAnsi"/>
        </w:rPr>
        <w:t xml:space="preserve"> </w:t>
      </w:r>
      <w:r w:rsidR="00CC28D0" w:rsidRPr="00CC28D0">
        <w:rPr>
          <w:rFonts w:cstheme="minorHAnsi"/>
        </w:rPr>
        <w:t>a discount rate other than the assumed interest crediting rate to measure the</w:t>
      </w:r>
      <w:r w:rsidR="008A3C13">
        <w:rPr>
          <w:rFonts w:cstheme="minorHAnsi"/>
        </w:rPr>
        <w:t xml:space="preserve"> </w:t>
      </w:r>
      <w:r w:rsidR="00CC28D0" w:rsidRPr="00CC28D0">
        <w:rPr>
          <w:rFonts w:cstheme="minorHAnsi"/>
        </w:rPr>
        <w:t>benefit obligation for those plans, the benefit obligation often is different from</w:t>
      </w:r>
      <w:r w:rsidR="008A3C13">
        <w:rPr>
          <w:rFonts w:cstheme="minorHAnsi"/>
        </w:rPr>
        <w:t xml:space="preserve"> </w:t>
      </w:r>
      <w:r w:rsidR="00CC28D0" w:rsidRPr="00CC28D0">
        <w:rPr>
          <w:rFonts w:cstheme="minorHAnsi"/>
        </w:rPr>
        <w:t>the plans’ hypothetical account balances (which are made up of principal</w:t>
      </w:r>
      <w:r w:rsidR="008A3C13">
        <w:rPr>
          <w:rFonts w:cstheme="minorHAnsi"/>
        </w:rPr>
        <w:t xml:space="preserve"> </w:t>
      </w:r>
      <w:r w:rsidR="00CC28D0" w:rsidRPr="00CC28D0">
        <w:rPr>
          <w:rFonts w:cstheme="minorHAnsi"/>
        </w:rPr>
        <w:t>credits and future interest credits based on those principal credits).</w:t>
      </w:r>
    </w:p>
    <w:p w14:paraId="38092782" w14:textId="77777777" w:rsidR="00CC28D0" w:rsidRDefault="00CC28D0" w:rsidP="004A733A">
      <w:pPr>
        <w:spacing w:after="0" w:line="240" w:lineRule="auto"/>
        <w:jc w:val="both"/>
        <w:rPr>
          <w:rFonts w:cstheme="minorHAnsi"/>
          <w:color w:val="FF0000"/>
        </w:rPr>
      </w:pPr>
    </w:p>
    <w:p w14:paraId="3E005D7D" w14:textId="73A667FF" w:rsidR="00B5398E" w:rsidRDefault="00586FF5" w:rsidP="00BA4028">
      <w:pPr>
        <w:spacing w:after="0" w:line="240" w:lineRule="auto"/>
        <w:jc w:val="both"/>
        <w:rPr>
          <w:rFonts w:cstheme="minorHAnsi"/>
        </w:rPr>
      </w:pPr>
      <w:r>
        <w:rPr>
          <w:rFonts w:cstheme="minorHAnsi"/>
        </w:rPr>
        <w:t>T</w:t>
      </w:r>
      <w:r w:rsidR="00CC28D0" w:rsidRPr="00CC28D0">
        <w:rPr>
          <w:rFonts w:cstheme="minorHAnsi"/>
        </w:rPr>
        <w:t>he amendments in th</w:t>
      </w:r>
      <w:r w:rsidR="001529E3">
        <w:rPr>
          <w:rFonts w:cstheme="minorHAnsi"/>
        </w:rPr>
        <w:t>e</w:t>
      </w:r>
      <w:r w:rsidR="00CC28D0" w:rsidRPr="00CC28D0">
        <w:rPr>
          <w:rFonts w:cstheme="minorHAnsi"/>
        </w:rPr>
        <w:t xml:space="preserve"> proposed </w:t>
      </w:r>
      <w:r w:rsidR="001529E3">
        <w:rPr>
          <w:rFonts w:cstheme="minorHAnsi"/>
        </w:rPr>
        <w:t>u</w:t>
      </w:r>
      <w:r w:rsidR="00CC28D0" w:rsidRPr="00CC28D0">
        <w:rPr>
          <w:rFonts w:cstheme="minorHAnsi"/>
        </w:rPr>
        <w:t>pdate</w:t>
      </w:r>
      <w:r w:rsidR="008A3C13">
        <w:rPr>
          <w:rFonts w:cstheme="minorHAnsi"/>
        </w:rPr>
        <w:t xml:space="preserve"> </w:t>
      </w:r>
      <w:r w:rsidR="00CC28D0" w:rsidRPr="00CC28D0">
        <w:rPr>
          <w:rFonts w:cstheme="minorHAnsi"/>
        </w:rPr>
        <w:t>would specify the discount rate required to be used to measure the benefit</w:t>
      </w:r>
      <w:r w:rsidR="008A3C13">
        <w:rPr>
          <w:rFonts w:cstheme="minorHAnsi"/>
        </w:rPr>
        <w:t xml:space="preserve"> </w:t>
      </w:r>
      <w:r w:rsidR="00CC28D0" w:rsidRPr="00CC28D0">
        <w:rPr>
          <w:rFonts w:cstheme="minorHAnsi"/>
        </w:rPr>
        <w:t>obligation for certain market-return cash balance plans</w:t>
      </w:r>
      <w:r>
        <w:rPr>
          <w:rFonts w:cstheme="minorHAnsi"/>
        </w:rPr>
        <w:t xml:space="preserve"> and</w:t>
      </w:r>
      <w:r w:rsidR="00B5398E" w:rsidRPr="00B5398E">
        <w:rPr>
          <w:rFonts w:cstheme="minorHAnsi"/>
        </w:rPr>
        <w:t xml:space="preserve"> would apply to all entities that have</w:t>
      </w:r>
      <w:r w:rsidR="008A3C13">
        <w:rPr>
          <w:rFonts w:cstheme="minorHAnsi"/>
        </w:rPr>
        <w:t xml:space="preserve"> </w:t>
      </w:r>
      <w:r w:rsidR="00B5398E" w:rsidRPr="00B5398E">
        <w:rPr>
          <w:rFonts w:cstheme="minorHAnsi"/>
        </w:rPr>
        <w:t>market-return cash balance plans that meet the specified conditions.</w:t>
      </w:r>
      <w:r>
        <w:rPr>
          <w:rFonts w:cstheme="minorHAnsi"/>
        </w:rPr>
        <w:t xml:space="preserve"> </w:t>
      </w:r>
      <w:r w:rsidR="00BA4028" w:rsidRPr="00BA4028">
        <w:rPr>
          <w:rFonts w:cstheme="minorHAnsi"/>
        </w:rPr>
        <w:t>The</w:t>
      </w:r>
      <w:r>
        <w:rPr>
          <w:rFonts w:cstheme="minorHAnsi"/>
        </w:rPr>
        <w:t xml:space="preserve">y </w:t>
      </w:r>
      <w:r w:rsidR="00BA4028" w:rsidRPr="00BA4028">
        <w:rPr>
          <w:rFonts w:cstheme="minorHAnsi"/>
        </w:rPr>
        <w:t>would require that an entity use the</w:t>
      </w:r>
      <w:r w:rsidR="008A3C13">
        <w:rPr>
          <w:rFonts w:cstheme="minorHAnsi"/>
        </w:rPr>
        <w:t xml:space="preserve"> </w:t>
      </w:r>
      <w:r w:rsidR="00BA4028" w:rsidRPr="00BA4028">
        <w:rPr>
          <w:rFonts w:cstheme="minorHAnsi"/>
        </w:rPr>
        <w:t>assumed interest crediting rate as the discount rate to measure the benefit</w:t>
      </w:r>
      <w:r w:rsidR="005F211D">
        <w:rPr>
          <w:rFonts w:cstheme="minorHAnsi"/>
        </w:rPr>
        <w:t xml:space="preserve"> </w:t>
      </w:r>
      <w:r w:rsidR="00BA4028" w:rsidRPr="00BA4028">
        <w:rPr>
          <w:rFonts w:cstheme="minorHAnsi"/>
        </w:rPr>
        <w:t xml:space="preserve">obligation under Subtopic 715-30 for </w:t>
      </w:r>
      <w:proofErr w:type="gramStart"/>
      <w:r w:rsidR="00BA4028" w:rsidRPr="00BA4028">
        <w:rPr>
          <w:rFonts w:cstheme="minorHAnsi"/>
        </w:rPr>
        <w:t>market-return</w:t>
      </w:r>
      <w:proofErr w:type="gramEnd"/>
      <w:r w:rsidR="00BA4028" w:rsidRPr="00BA4028">
        <w:rPr>
          <w:rFonts w:cstheme="minorHAnsi"/>
        </w:rPr>
        <w:t xml:space="preserve"> cash balance plans that</w:t>
      </w:r>
      <w:r w:rsidR="005F211D">
        <w:rPr>
          <w:rFonts w:cstheme="minorHAnsi"/>
        </w:rPr>
        <w:t xml:space="preserve"> </w:t>
      </w:r>
      <w:r w:rsidR="00BA4028" w:rsidRPr="00BA4028">
        <w:rPr>
          <w:rFonts w:cstheme="minorHAnsi"/>
        </w:rPr>
        <w:t>meet the following conditions:</w:t>
      </w:r>
    </w:p>
    <w:p w14:paraId="657833C2" w14:textId="77777777" w:rsidR="00BA4028" w:rsidRDefault="00BA4028" w:rsidP="00BA4028">
      <w:pPr>
        <w:spacing w:after="0" w:line="240" w:lineRule="auto"/>
        <w:jc w:val="both"/>
        <w:rPr>
          <w:rFonts w:cstheme="minorHAnsi"/>
        </w:rPr>
      </w:pPr>
    </w:p>
    <w:p w14:paraId="64AC61E7" w14:textId="40931A5A" w:rsidR="00BA4028" w:rsidRDefault="00BA4028" w:rsidP="00BA4028">
      <w:pPr>
        <w:spacing w:after="0" w:line="240" w:lineRule="auto"/>
        <w:jc w:val="both"/>
        <w:rPr>
          <w:rFonts w:cstheme="minorHAnsi"/>
        </w:rPr>
      </w:pPr>
      <w:r w:rsidRPr="00BA4028">
        <w:rPr>
          <w:rFonts w:cstheme="minorHAnsi"/>
        </w:rPr>
        <w:t>1. Pension benefits are communicated to employees in the form of an</w:t>
      </w:r>
      <w:r w:rsidR="005F211D">
        <w:rPr>
          <w:rFonts w:cstheme="minorHAnsi"/>
        </w:rPr>
        <w:t xml:space="preserve"> </w:t>
      </w:r>
      <w:r w:rsidRPr="00BA4028">
        <w:rPr>
          <w:rFonts w:cstheme="minorHAnsi"/>
        </w:rPr>
        <w:t>account balance that comprises principal credits and interest credits</w:t>
      </w:r>
      <w:r w:rsidR="005F211D">
        <w:rPr>
          <w:rFonts w:cstheme="minorHAnsi"/>
        </w:rPr>
        <w:t xml:space="preserve"> </w:t>
      </w:r>
      <w:r w:rsidRPr="00BA4028">
        <w:rPr>
          <w:rFonts w:cstheme="minorHAnsi"/>
        </w:rPr>
        <w:t>based on an investable market return in any of the following forms:</w:t>
      </w:r>
    </w:p>
    <w:p w14:paraId="1A829979" w14:textId="77777777" w:rsidR="005F211D" w:rsidRPr="00BA4028" w:rsidRDefault="005F211D" w:rsidP="00BA4028">
      <w:pPr>
        <w:spacing w:after="0" w:line="240" w:lineRule="auto"/>
        <w:jc w:val="both"/>
        <w:rPr>
          <w:rFonts w:cstheme="minorHAnsi"/>
        </w:rPr>
      </w:pPr>
    </w:p>
    <w:p w14:paraId="4434B6A1" w14:textId="77777777" w:rsidR="00BA4028" w:rsidRPr="00BA4028" w:rsidRDefault="00BA4028" w:rsidP="005F211D">
      <w:pPr>
        <w:spacing w:after="0" w:line="240" w:lineRule="auto"/>
        <w:ind w:firstLine="720"/>
        <w:jc w:val="both"/>
        <w:rPr>
          <w:rFonts w:cstheme="minorHAnsi"/>
        </w:rPr>
      </w:pPr>
      <w:r w:rsidRPr="00BA4028">
        <w:rPr>
          <w:rFonts w:cstheme="minorHAnsi"/>
        </w:rPr>
        <w:t>a. The return on plan assets</w:t>
      </w:r>
    </w:p>
    <w:p w14:paraId="38480A76" w14:textId="20A739CB" w:rsidR="00BA4028" w:rsidRPr="00BA4028" w:rsidRDefault="00BA4028" w:rsidP="005F211D">
      <w:pPr>
        <w:spacing w:after="0" w:line="240" w:lineRule="auto"/>
        <w:ind w:firstLine="720"/>
        <w:jc w:val="both"/>
        <w:rPr>
          <w:rFonts w:cstheme="minorHAnsi"/>
        </w:rPr>
      </w:pPr>
      <w:r w:rsidRPr="00BA4028">
        <w:rPr>
          <w:rFonts w:cstheme="minorHAnsi"/>
        </w:rPr>
        <w:t>b. The return on a subset of plan assets that approximates the</w:t>
      </w:r>
      <w:r w:rsidR="005F211D">
        <w:rPr>
          <w:rFonts w:cstheme="minorHAnsi"/>
        </w:rPr>
        <w:t xml:space="preserve"> </w:t>
      </w:r>
      <w:r w:rsidRPr="00BA4028">
        <w:rPr>
          <w:rFonts w:cstheme="minorHAnsi"/>
        </w:rPr>
        <w:t>associated cash balance liabilities</w:t>
      </w:r>
    </w:p>
    <w:p w14:paraId="3EC62875" w14:textId="77777777" w:rsidR="00BA4028" w:rsidRDefault="00BA4028" w:rsidP="005F211D">
      <w:pPr>
        <w:spacing w:after="0" w:line="240" w:lineRule="auto"/>
        <w:ind w:firstLine="720"/>
        <w:jc w:val="both"/>
        <w:rPr>
          <w:rFonts w:cstheme="minorHAnsi"/>
        </w:rPr>
      </w:pPr>
      <w:r w:rsidRPr="00BA4028">
        <w:rPr>
          <w:rFonts w:cstheme="minorHAnsi"/>
        </w:rPr>
        <w:t>c. The return on a regulated investment company.</w:t>
      </w:r>
    </w:p>
    <w:p w14:paraId="03A8731E" w14:textId="77777777" w:rsidR="005F211D" w:rsidRPr="00BA4028" w:rsidRDefault="005F211D" w:rsidP="005F211D">
      <w:pPr>
        <w:spacing w:after="0" w:line="240" w:lineRule="auto"/>
        <w:ind w:firstLine="720"/>
        <w:jc w:val="both"/>
        <w:rPr>
          <w:rFonts w:cstheme="minorHAnsi"/>
        </w:rPr>
      </w:pPr>
    </w:p>
    <w:p w14:paraId="2CFA6734" w14:textId="530AF74E" w:rsidR="00BA4028" w:rsidRPr="00BA4028" w:rsidRDefault="00BA4028" w:rsidP="00BA4028">
      <w:pPr>
        <w:spacing w:after="0" w:line="240" w:lineRule="auto"/>
        <w:jc w:val="both"/>
        <w:rPr>
          <w:rFonts w:cstheme="minorHAnsi"/>
        </w:rPr>
      </w:pPr>
      <w:r w:rsidRPr="00BA4028">
        <w:rPr>
          <w:rFonts w:cstheme="minorHAnsi"/>
        </w:rPr>
        <w:t>2. Participants have the option to elect lump-sum payments.</w:t>
      </w:r>
    </w:p>
    <w:p w14:paraId="7A43BE91" w14:textId="77777777" w:rsidR="00B5398E" w:rsidRDefault="00B5398E" w:rsidP="00CC28D0">
      <w:pPr>
        <w:spacing w:after="0" w:line="240" w:lineRule="auto"/>
        <w:jc w:val="both"/>
        <w:rPr>
          <w:rFonts w:cstheme="minorHAnsi"/>
          <w:color w:val="FF0000"/>
        </w:rPr>
      </w:pPr>
    </w:p>
    <w:p w14:paraId="62CA2A50" w14:textId="70D329B4" w:rsidR="00B5398E" w:rsidRPr="00D95064" w:rsidRDefault="00D95064" w:rsidP="00D95064">
      <w:pPr>
        <w:spacing w:after="0" w:line="240" w:lineRule="auto"/>
        <w:jc w:val="both"/>
        <w:rPr>
          <w:rFonts w:cstheme="minorHAnsi"/>
        </w:rPr>
      </w:pPr>
      <w:r w:rsidRPr="00D95064">
        <w:rPr>
          <w:rFonts w:cstheme="minorHAnsi"/>
        </w:rPr>
        <w:t>The amendments would not change how market-return</w:t>
      </w:r>
      <w:r w:rsidR="005F211D">
        <w:rPr>
          <w:rFonts w:cstheme="minorHAnsi"/>
        </w:rPr>
        <w:t xml:space="preserve"> </w:t>
      </w:r>
      <w:r w:rsidRPr="00D95064">
        <w:rPr>
          <w:rFonts w:cstheme="minorHAnsi"/>
        </w:rPr>
        <w:t>cash balance plans should be accounted for under current guidance in</w:t>
      </w:r>
      <w:r w:rsidR="005F211D">
        <w:rPr>
          <w:rFonts w:cstheme="minorHAnsi"/>
        </w:rPr>
        <w:t xml:space="preserve"> </w:t>
      </w:r>
      <w:r w:rsidRPr="00D95064">
        <w:rPr>
          <w:rFonts w:cstheme="minorHAnsi"/>
        </w:rPr>
        <w:t>Subtopic 715-30, except for requiring that the assumed interest crediting rate</w:t>
      </w:r>
      <w:r w:rsidR="005F211D">
        <w:rPr>
          <w:rFonts w:cstheme="minorHAnsi"/>
        </w:rPr>
        <w:t xml:space="preserve"> </w:t>
      </w:r>
      <w:r w:rsidRPr="00D95064">
        <w:rPr>
          <w:rFonts w:cstheme="minorHAnsi"/>
        </w:rPr>
        <w:t xml:space="preserve">be used as the discount </w:t>
      </w:r>
      <w:proofErr w:type="gramStart"/>
      <w:r w:rsidRPr="00D95064">
        <w:rPr>
          <w:rFonts w:cstheme="minorHAnsi"/>
        </w:rPr>
        <w:t>rate when</w:t>
      </w:r>
      <w:proofErr w:type="gramEnd"/>
      <w:r w:rsidRPr="00D95064">
        <w:rPr>
          <w:rFonts w:cstheme="minorHAnsi"/>
        </w:rPr>
        <w:t xml:space="preserve"> measuring the benefit obligation of</w:t>
      </w:r>
      <w:r w:rsidR="005F211D">
        <w:rPr>
          <w:rFonts w:cstheme="minorHAnsi"/>
        </w:rPr>
        <w:t xml:space="preserve"> </w:t>
      </w:r>
      <w:r w:rsidRPr="00D95064">
        <w:rPr>
          <w:rFonts w:cstheme="minorHAnsi"/>
        </w:rPr>
        <w:t>qualifying plans. As a result of using the assumed interest crediting rate as the</w:t>
      </w:r>
      <w:r w:rsidR="005F211D">
        <w:rPr>
          <w:rFonts w:cstheme="minorHAnsi"/>
        </w:rPr>
        <w:t xml:space="preserve"> </w:t>
      </w:r>
      <w:r w:rsidRPr="00D95064">
        <w:rPr>
          <w:rFonts w:cstheme="minorHAnsi"/>
        </w:rPr>
        <w:t>discount rate, the benefit obligation of those plans generally would be equal to</w:t>
      </w:r>
      <w:r w:rsidR="005F211D">
        <w:rPr>
          <w:rFonts w:cstheme="minorHAnsi"/>
        </w:rPr>
        <w:t xml:space="preserve"> </w:t>
      </w:r>
      <w:r w:rsidRPr="00D95064">
        <w:rPr>
          <w:rFonts w:cstheme="minorHAnsi"/>
        </w:rPr>
        <w:t>their hypothetical account balance.</w:t>
      </w:r>
      <w:r w:rsidR="00314E15">
        <w:rPr>
          <w:rFonts w:cstheme="minorHAnsi"/>
        </w:rPr>
        <w:t xml:space="preserve"> </w:t>
      </w:r>
      <w:r w:rsidRPr="00D95064">
        <w:rPr>
          <w:rFonts w:cstheme="minorHAnsi"/>
        </w:rPr>
        <w:t>The amendments would (1) better reflect the</w:t>
      </w:r>
      <w:r w:rsidR="005F211D">
        <w:rPr>
          <w:rFonts w:cstheme="minorHAnsi"/>
        </w:rPr>
        <w:t xml:space="preserve"> </w:t>
      </w:r>
      <w:r w:rsidRPr="00D95064">
        <w:rPr>
          <w:rFonts w:cstheme="minorHAnsi"/>
        </w:rPr>
        <w:t>economics of market-return cash balance plans that meet the conditions listed</w:t>
      </w:r>
      <w:r w:rsidR="005F211D">
        <w:rPr>
          <w:rFonts w:cstheme="minorHAnsi"/>
        </w:rPr>
        <w:t xml:space="preserve"> </w:t>
      </w:r>
      <w:r w:rsidRPr="00D95064">
        <w:rPr>
          <w:rFonts w:cstheme="minorHAnsi"/>
        </w:rPr>
        <w:t>above (in-scope market-return cash balance plans) and (2) reduce diversity in</w:t>
      </w:r>
      <w:r w:rsidR="005F211D">
        <w:rPr>
          <w:rFonts w:cstheme="minorHAnsi"/>
        </w:rPr>
        <w:t xml:space="preserve"> </w:t>
      </w:r>
      <w:r w:rsidRPr="00D95064">
        <w:rPr>
          <w:rFonts w:cstheme="minorHAnsi"/>
        </w:rPr>
        <w:t>practice on how the measurement guidance in Subtopic 715-30 should be</w:t>
      </w:r>
      <w:r w:rsidR="005F211D">
        <w:rPr>
          <w:rFonts w:cstheme="minorHAnsi"/>
        </w:rPr>
        <w:t xml:space="preserve"> </w:t>
      </w:r>
      <w:r w:rsidRPr="00D95064">
        <w:rPr>
          <w:rFonts w:cstheme="minorHAnsi"/>
        </w:rPr>
        <w:t>applied to those plans.</w:t>
      </w:r>
    </w:p>
    <w:p w14:paraId="209E3CF7" w14:textId="77777777" w:rsidR="00BA4028" w:rsidRDefault="00BA4028" w:rsidP="00CC28D0">
      <w:pPr>
        <w:spacing w:after="0" w:line="240" w:lineRule="auto"/>
        <w:jc w:val="both"/>
        <w:rPr>
          <w:rFonts w:cstheme="minorHAnsi"/>
          <w:color w:val="FF0000"/>
        </w:rPr>
      </w:pPr>
    </w:p>
    <w:p w14:paraId="14FEBE91" w14:textId="089C2861" w:rsidR="00BA4028" w:rsidRDefault="00D95064" w:rsidP="00D95064">
      <w:pPr>
        <w:spacing w:after="0" w:line="240" w:lineRule="auto"/>
        <w:jc w:val="both"/>
        <w:rPr>
          <w:rFonts w:cstheme="minorHAnsi"/>
        </w:rPr>
      </w:pPr>
      <w:r w:rsidRPr="00D95064">
        <w:rPr>
          <w:rFonts w:cstheme="minorHAnsi"/>
        </w:rPr>
        <w:t>An entity would be required to apply the amendments in th</w:t>
      </w:r>
      <w:r w:rsidR="009B3FFD">
        <w:rPr>
          <w:rFonts w:cstheme="minorHAnsi"/>
        </w:rPr>
        <w:t>e</w:t>
      </w:r>
      <w:r w:rsidRPr="00D95064">
        <w:rPr>
          <w:rFonts w:cstheme="minorHAnsi"/>
        </w:rPr>
        <w:t xml:space="preserve"> proposed </w:t>
      </w:r>
      <w:r w:rsidR="009B3FFD">
        <w:rPr>
          <w:rFonts w:cstheme="minorHAnsi"/>
        </w:rPr>
        <w:t>u</w:t>
      </w:r>
      <w:r w:rsidRPr="00D95064">
        <w:rPr>
          <w:rFonts w:cstheme="minorHAnsi"/>
        </w:rPr>
        <w:t>pdate</w:t>
      </w:r>
      <w:r w:rsidR="005F211D">
        <w:rPr>
          <w:rFonts w:cstheme="minorHAnsi"/>
        </w:rPr>
        <w:t xml:space="preserve"> </w:t>
      </w:r>
      <w:r w:rsidRPr="00D95064">
        <w:rPr>
          <w:rFonts w:cstheme="minorHAnsi"/>
        </w:rPr>
        <w:t>prospectively at its next pension measurement date as determined under</w:t>
      </w:r>
      <w:r w:rsidR="005F211D">
        <w:rPr>
          <w:rFonts w:cstheme="minorHAnsi"/>
        </w:rPr>
        <w:t xml:space="preserve"> </w:t>
      </w:r>
      <w:r w:rsidRPr="00D95064">
        <w:rPr>
          <w:rFonts w:cstheme="minorHAnsi"/>
        </w:rPr>
        <w:t>Subtopic 715-30</w:t>
      </w:r>
      <w:r w:rsidR="002B799A">
        <w:rPr>
          <w:rFonts w:cstheme="minorHAnsi"/>
        </w:rPr>
        <w:t xml:space="preserve"> and</w:t>
      </w:r>
      <w:r w:rsidRPr="00D95064">
        <w:rPr>
          <w:rFonts w:cstheme="minorHAnsi"/>
        </w:rPr>
        <w:t xml:space="preserve"> </w:t>
      </w:r>
      <w:r w:rsidR="002B799A">
        <w:rPr>
          <w:rFonts w:cstheme="minorHAnsi"/>
        </w:rPr>
        <w:t>e</w:t>
      </w:r>
      <w:r w:rsidRPr="00D95064">
        <w:rPr>
          <w:rFonts w:cstheme="minorHAnsi"/>
        </w:rPr>
        <w:t>arly adoption would be permitted.</w:t>
      </w:r>
      <w:r w:rsidR="007F2B9A">
        <w:rPr>
          <w:rFonts w:cstheme="minorHAnsi"/>
        </w:rPr>
        <w:t xml:space="preserve"> </w:t>
      </w:r>
      <w:r w:rsidRPr="00D95064">
        <w:rPr>
          <w:rFonts w:cstheme="minorHAnsi"/>
        </w:rPr>
        <w:t>The effective date will be determined after the Board considers stakeholder</w:t>
      </w:r>
      <w:r w:rsidR="005F211D">
        <w:rPr>
          <w:rFonts w:cstheme="minorHAnsi"/>
        </w:rPr>
        <w:t xml:space="preserve"> </w:t>
      </w:r>
      <w:r w:rsidRPr="00D95064">
        <w:rPr>
          <w:rFonts w:cstheme="minorHAnsi"/>
        </w:rPr>
        <w:t>feedback on the amendments.</w:t>
      </w:r>
    </w:p>
    <w:p w14:paraId="335E7ED3" w14:textId="77777777" w:rsidR="00CC28D0" w:rsidRPr="00C05397" w:rsidRDefault="00CC28D0" w:rsidP="00CC28D0">
      <w:pPr>
        <w:spacing w:after="0" w:line="240" w:lineRule="auto"/>
        <w:jc w:val="both"/>
        <w:rPr>
          <w:rFonts w:cstheme="minorHAnsi"/>
          <w:color w:val="FF0000"/>
        </w:rPr>
      </w:pPr>
    </w:p>
    <w:p w14:paraId="0924EB3C" w14:textId="77777777" w:rsidR="004F3A55" w:rsidRPr="00F366D3" w:rsidRDefault="004F3A55" w:rsidP="004F3A55">
      <w:pPr>
        <w:spacing w:after="0" w:line="240" w:lineRule="auto"/>
        <w:jc w:val="both"/>
        <w:rPr>
          <w:rFonts w:cstheme="minorHAnsi"/>
          <w:b/>
          <w:u w:val="single"/>
        </w:rPr>
      </w:pPr>
      <w:r w:rsidRPr="00F366D3">
        <w:rPr>
          <w:rFonts w:cstheme="minorHAnsi"/>
          <w:b/>
          <w:u w:val="single"/>
        </w:rPr>
        <w:t xml:space="preserve">Staff Review and Commentary: </w:t>
      </w:r>
    </w:p>
    <w:p w14:paraId="6B07FCFC" w14:textId="60A3BE83" w:rsidR="004F3A55" w:rsidRPr="00F366D3" w:rsidRDefault="004F3A55" w:rsidP="004F3A55">
      <w:pPr>
        <w:tabs>
          <w:tab w:val="center" w:pos="5040"/>
        </w:tabs>
        <w:spacing w:after="0" w:line="240" w:lineRule="auto"/>
        <w:jc w:val="both"/>
        <w:rPr>
          <w:rFonts w:cstheme="minorHAnsi"/>
          <w:iCs/>
        </w:rPr>
      </w:pPr>
      <w:r w:rsidRPr="00F366D3">
        <w:rPr>
          <w:rFonts w:cstheme="minorHAnsi"/>
        </w:rPr>
        <w:t xml:space="preserve">Comment deadline is </w:t>
      </w:r>
      <w:r w:rsidR="00F366D3" w:rsidRPr="00F366D3">
        <w:rPr>
          <w:rFonts w:cstheme="minorHAnsi"/>
        </w:rPr>
        <w:t>August 10</w:t>
      </w:r>
      <w:r w:rsidRPr="00F366D3">
        <w:rPr>
          <w:rFonts w:cstheme="minorHAnsi"/>
        </w:rPr>
        <w:t>, 202</w:t>
      </w:r>
      <w:r w:rsidR="00F366D3" w:rsidRPr="00F366D3">
        <w:rPr>
          <w:rFonts w:cstheme="minorHAnsi"/>
        </w:rPr>
        <w:t>6</w:t>
      </w:r>
      <w:r w:rsidR="00B33DD6">
        <w:rPr>
          <w:rFonts w:cstheme="minorHAnsi"/>
        </w:rPr>
        <w:t xml:space="preserve">. </w:t>
      </w:r>
      <w:r w:rsidRPr="00F366D3">
        <w:rPr>
          <w:rFonts w:cstheme="minorHAnsi"/>
        </w:rPr>
        <w:t xml:space="preserve">NAIC staff recommend that ASU be reviewed under the SAP Maintenance Process as detailed in </w:t>
      </w:r>
      <w:r w:rsidRPr="00F366D3">
        <w:rPr>
          <w:rFonts w:cstheme="minorHAnsi"/>
          <w:i/>
        </w:rPr>
        <w:t xml:space="preserve">Appendix F—Policy Statements. </w:t>
      </w:r>
    </w:p>
    <w:sectPr w:rsidR="004F3A55" w:rsidRPr="00F366D3" w:rsidSect="008E6BE0">
      <w:headerReference w:type="default" r:id="rId13"/>
      <w:footerReference w:type="default" r:id="rId1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39761" w14:textId="77777777" w:rsidR="00592E48" w:rsidRPr="0076161A" w:rsidRDefault="00592E48" w:rsidP="00F8576D">
      <w:pPr>
        <w:spacing w:after="0" w:line="240" w:lineRule="auto"/>
      </w:pPr>
      <w:r w:rsidRPr="0076161A">
        <w:separator/>
      </w:r>
    </w:p>
  </w:endnote>
  <w:endnote w:type="continuationSeparator" w:id="0">
    <w:p w14:paraId="6249F24C" w14:textId="77777777" w:rsidR="00592E48" w:rsidRPr="0076161A" w:rsidRDefault="00592E48" w:rsidP="00F8576D">
      <w:pPr>
        <w:spacing w:after="0" w:line="240" w:lineRule="auto"/>
      </w:pPr>
      <w:r w:rsidRPr="0076161A">
        <w:continuationSeparator/>
      </w:r>
    </w:p>
  </w:endnote>
  <w:endnote w:type="continuationNotice" w:id="1">
    <w:p w14:paraId="5F6544EB" w14:textId="77777777" w:rsidR="00592E48" w:rsidRPr="0076161A" w:rsidRDefault="00592E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25F3" w14:textId="63B05F02" w:rsidR="00496E21" w:rsidRPr="001F1CC7" w:rsidRDefault="00496E21" w:rsidP="00587147">
    <w:pPr>
      <w:pStyle w:val="Footer"/>
      <w:tabs>
        <w:tab w:val="clear" w:pos="4680"/>
        <w:tab w:val="clear" w:pos="9360"/>
        <w:tab w:val="center" w:pos="5040"/>
      </w:tabs>
      <w:rPr>
        <w:rFonts w:ascii="Calibri" w:hAnsi="Calibri" w:cs="Calibri"/>
        <w:sz w:val="20"/>
        <w:szCs w:val="20"/>
      </w:rPr>
    </w:pPr>
    <w:r w:rsidRPr="001F1CC7">
      <w:rPr>
        <w:rFonts w:ascii="Calibri" w:hAnsi="Calibri" w:cs="Calibri"/>
        <w:sz w:val="20"/>
        <w:szCs w:val="20"/>
      </w:rPr>
      <w:t>© 20</w:t>
    </w:r>
    <w:r w:rsidR="0076161A" w:rsidRPr="001F1CC7">
      <w:rPr>
        <w:rFonts w:ascii="Calibri" w:hAnsi="Calibri" w:cs="Calibri"/>
        <w:sz w:val="20"/>
        <w:szCs w:val="20"/>
      </w:rPr>
      <w:t>2</w:t>
    </w:r>
    <w:r w:rsidR="00C05397" w:rsidRPr="001F1CC7">
      <w:rPr>
        <w:rFonts w:ascii="Calibri" w:hAnsi="Calibri" w:cs="Calibri"/>
        <w:sz w:val="20"/>
        <w:szCs w:val="20"/>
      </w:rPr>
      <w:t>6</w:t>
    </w:r>
    <w:r w:rsidRPr="001F1CC7">
      <w:rPr>
        <w:rFonts w:ascii="Calibri" w:hAnsi="Calibri" w:cs="Calibri"/>
        <w:sz w:val="20"/>
        <w:szCs w:val="20"/>
      </w:rPr>
      <w:t xml:space="preserve"> National Association of Insurance Commissione</w:t>
    </w:r>
    <w:r w:rsidR="00587147">
      <w:rPr>
        <w:rFonts w:ascii="Calibri" w:hAnsi="Calibri" w:cs="Calibri"/>
        <w:sz w:val="20"/>
        <w:szCs w:val="20"/>
      </w:rPr>
      <w:t>rs</w:t>
    </w:r>
    <w:r w:rsidR="00587147">
      <w:rPr>
        <w:rFonts w:ascii="Calibri" w:hAnsi="Calibri" w:cs="Calibri"/>
        <w:sz w:val="20"/>
        <w:szCs w:val="20"/>
      </w:rPr>
      <w:tab/>
    </w:r>
    <w:r w:rsidRPr="001F1CC7">
      <w:rPr>
        <w:rStyle w:val="PageNumber"/>
        <w:rFonts w:ascii="Calibri" w:hAnsi="Calibri" w:cs="Calibri"/>
        <w:sz w:val="20"/>
        <w:szCs w:val="20"/>
      </w:rPr>
      <w:fldChar w:fldCharType="begin"/>
    </w:r>
    <w:r w:rsidRPr="001F1CC7">
      <w:rPr>
        <w:rStyle w:val="PageNumber"/>
        <w:rFonts w:ascii="Calibri" w:hAnsi="Calibri" w:cs="Calibri"/>
        <w:sz w:val="20"/>
        <w:szCs w:val="20"/>
      </w:rPr>
      <w:instrText xml:space="preserve"> PAGE </w:instrText>
    </w:r>
    <w:r w:rsidRPr="001F1CC7">
      <w:rPr>
        <w:rStyle w:val="PageNumber"/>
        <w:rFonts w:ascii="Calibri" w:hAnsi="Calibri" w:cs="Calibri"/>
        <w:sz w:val="20"/>
        <w:szCs w:val="20"/>
      </w:rPr>
      <w:fldChar w:fldCharType="separate"/>
    </w:r>
    <w:r w:rsidRPr="001F1CC7">
      <w:rPr>
        <w:rStyle w:val="PageNumber"/>
        <w:rFonts w:ascii="Calibri" w:hAnsi="Calibri" w:cs="Calibri"/>
        <w:sz w:val="20"/>
        <w:szCs w:val="20"/>
      </w:rPr>
      <w:t>1</w:t>
    </w:r>
    <w:r w:rsidRPr="001F1CC7">
      <w:rPr>
        <w:rStyle w:val="PageNumber"/>
        <w:rFonts w:ascii="Calibri" w:hAnsi="Calibri" w:cs="Calibr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6166C" w14:textId="77777777" w:rsidR="00592E48" w:rsidRPr="0076161A" w:rsidRDefault="00592E48" w:rsidP="00F8576D">
      <w:pPr>
        <w:spacing w:after="0" w:line="240" w:lineRule="auto"/>
      </w:pPr>
      <w:r w:rsidRPr="0076161A">
        <w:separator/>
      </w:r>
    </w:p>
  </w:footnote>
  <w:footnote w:type="continuationSeparator" w:id="0">
    <w:p w14:paraId="6BD13FEB" w14:textId="77777777" w:rsidR="00592E48" w:rsidRPr="0076161A" w:rsidRDefault="00592E48" w:rsidP="00F8576D">
      <w:pPr>
        <w:spacing w:after="0" w:line="240" w:lineRule="auto"/>
      </w:pPr>
      <w:r w:rsidRPr="0076161A">
        <w:continuationSeparator/>
      </w:r>
    </w:p>
  </w:footnote>
  <w:footnote w:type="continuationNotice" w:id="1">
    <w:p w14:paraId="453CE691" w14:textId="77777777" w:rsidR="00592E48" w:rsidRPr="0076161A" w:rsidRDefault="00592E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8688A" w14:textId="3896E871" w:rsidR="00496E21" w:rsidRPr="00663504" w:rsidRDefault="00496E21" w:rsidP="00296314">
    <w:pPr>
      <w:pStyle w:val="Header"/>
      <w:jc w:val="right"/>
      <w:rPr>
        <w:rFonts w:ascii="Calibri" w:hAnsi="Calibri" w:cs="Calibri"/>
        <w:b/>
        <w:bCs/>
        <w:sz w:val="20"/>
        <w:szCs w:val="20"/>
      </w:rPr>
    </w:pPr>
    <w:r w:rsidRPr="00663504">
      <w:rPr>
        <w:rFonts w:ascii="Calibri" w:hAnsi="Calibri" w:cs="Calibri"/>
        <w:b/>
        <w:bCs/>
        <w:sz w:val="20"/>
        <w:szCs w:val="20"/>
      </w:rPr>
      <w:t>Attachment</w:t>
    </w:r>
    <w:r w:rsidR="00EA570C" w:rsidRPr="00663504">
      <w:rPr>
        <w:rFonts w:ascii="Calibri" w:hAnsi="Calibri" w:cs="Calibri"/>
        <w:b/>
        <w:bCs/>
        <w:sz w:val="20"/>
        <w:szCs w:val="20"/>
      </w:rPr>
      <w:t xml:space="preserve"> </w:t>
    </w:r>
    <w:r w:rsidR="00B42942" w:rsidRPr="00663504">
      <w:rPr>
        <w:rFonts w:ascii="Calibri" w:hAnsi="Calibri" w:cs="Calibri"/>
        <w:b/>
        <w:bCs/>
        <w:sz w:val="20"/>
        <w:szCs w:val="20"/>
      </w:rPr>
      <w:t>M</w:t>
    </w:r>
  </w:p>
  <w:p w14:paraId="000F4BDB" w14:textId="77777777" w:rsidR="00496E21" w:rsidRPr="00C05397" w:rsidRDefault="00496E21" w:rsidP="00296314">
    <w:pPr>
      <w:pStyle w:val="Header"/>
      <w:jc w:val="right"/>
      <w:rPr>
        <w:rFonts w:ascii="Calibri" w:hAnsi="Calibri" w:cs="Calibri"/>
        <w:bCs/>
      </w:rPr>
    </w:pPr>
    <w:r w:rsidRPr="00C05397">
      <w:rPr>
        <w:rFonts w:ascii="Calibri" w:hAnsi="Calibri" w:cs="Calibri"/>
        <w:bCs/>
      </w:rPr>
      <w:t>Review of GAAP Exposures</w:t>
    </w:r>
  </w:p>
  <w:p w14:paraId="65DDBC3D" w14:textId="77777777" w:rsidR="00496E21" w:rsidRPr="0076161A" w:rsidRDefault="00496E21" w:rsidP="009070C7">
    <w:pPr>
      <w:pStyle w:val="Header"/>
      <w:jc w:val="right"/>
      <w:rPr>
        <w:rFonts w:ascii="Times New Roman" w:hAnsi="Times New Roman" w:cs="Times New Roman"/>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79E47B"/>
    <w:multiLevelType w:val="hybridMultilevel"/>
    <w:tmpl w:val="495E0E07"/>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D12961B"/>
    <w:multiLevelType w:val="hybridMultilevel"/>
    <w:tmpl w:val="21A45220"/>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954D70"/>
    <w:multiLevelType w:val="hybridMultilevel"/>
    <w:tmpl w:val="980A30F4"/>
    <w:lvl w:ilvl="0" w:tplc="A9EC34B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0016A"/>
    <w:multiLevelType w:val="hybridMultilevel"/>
    <w:tmpl w:val="B9D0DC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DD34B2"/>
    <w:multiLevelType w:val="hybridMultilevel"/>
    <w:tmpl w:val="A2CCDC7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D013A4"/>
    <w:multiLevelType w:val="hybridMultilevel"/>
    <w:tmpl w:val="750AA2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15D2A"/>
    <w:multiLevelType w:val="hybridMultilevel"/>
    <w:tmpl w:val="623E3C86"/>
    <w:lvl w:ilvl="0" w:tplc="44281C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9D2957"/>
    <w:multiLevelType w:val="hybridMultilevel"/>
    <w:tmpl w:val="21D2C3EE"/>
    <w:lvl w:ilvl="0" w:tplc="6F269B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9B5422"/>
    <w:multiLevelType w:val="hybridMultilevel"/>
    <w:tmpl w:val="02FA8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94550"/>
    <w:multiLevelType w:val="hybridMultilevel"/>
    <w:tmpl w:val="C1789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83738"/>
    <w:multiLevelType w:val="hybridMultilevel"/>
    <w:tmpl w:val="32C88536"/>
    <w:lvl w:ilvl="0" w:tplc="FB6C1EB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B5B2EDB"/>
    <w:multiLevelType w:val="hybridMultilevel"/>
    <w:tmpl w:val="980A30F4"/>
    <w:lvl w:ilvl="0" w:tplc="A9EC34BE">
      <w:start w:val="1"/>
      <w:numFmt w:val="decimal"/>
      <w:lvlText w:val="(%1)"/>
      <w:lvlJc w:val="left"/>
      <w:pPr>
        <w:ind w:left="423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FE31CD"/>
    <w:multiLevelType w:val="hybridMultilevel"/>
    <w:tmpl w:val="715A14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FF2805"/>
    <w:multiLevelType w:val="hybridMultilevel"/>
    <w:tmpl w:val="5A9A3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F97B14"/>
    <w:multiLevelType w:val="hybridMultilevel"/>
    <w:tmpl w:val="5082DD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CC6D2F"/>
    <w:multiLevelType w:val="hybridMultilevel"/>
    <w:tmpl w:val="AE626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2728FA"/>
    <w:multiLevelType w:val="hybridMultilevel"/>
    <w:tmpl w:val="597E995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A275E18"/>
    <w:multiLevelType w:val="hybridMultilevel"/>
    <w:tmpl w:val="ED5EE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EE78B8"/>
    <w:multiLevelType w:val="hybridMultilevel"/>
    <w:tmpl w:val="FA32F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2108C"/>
    <w:multiLevelType w:val="hybridMultilevel"/>
    <w:tmpl w:val="86CE04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D10611"/>
    <w:multiLevelType w:val="hybridMultilevel"/>
    <w:tmpl w:val="8B92F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1324C7"/>
    <w:multiLevelType w:val="hybridMultilevel"/>
    <w:tmpl w:val="55B47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F94432"/>
    <w:multiLevelType w:val="hybridMultilevel"/>
    <w:tmpl w:val="D7241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54BCB"/>
    <w:multiLevelType w:val="hybridMultilevel"/>
    <w:tmpl w:val="EA987710"/>
    <w:lvl w:ilvl="0" w:tplc="FB9077A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964D46"/>
    <w:multiLevelType w:val="hybridMultilevel"/>
    <w:tmpl w:val="B5421BB4"/>
    <w:lvl w:ilvl="0" w:tplc="4A0C0948">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AB12952"/>
    <w:multiLevelType w:val="hybridMultilevel"/>
    <w:tmpl w:val="F5869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F40F02"/>
    <w:multiLevelType w:val="hybridMultilevel"/>
    <w:tmpl w:val="55B47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DF36E1"/>
    <w:multiLevelType w:val="hybridMultilevel"/>
    <w:tmpl w:val="44DC2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196039"/>
    <w:multiLevelType w:val="hybridMultilevel"/>
    <w:tmpl w:val="203AA562"/>
    <w:lvl w:ilvl="0" w:tplc="F31ADB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31819"/>
    <w:multiLevelType w:val="hybridMultilevel"/>
    <w:tmpl w:val="EF622D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655617"/>
    <w:multiLevelType w:val="hybridMultilevel"/>
    <w:tmpl w:val="824AD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6700A3"/>
    <w:multiLevelType w:val="hybridMultilevel"/>
    <w:tmpl w:val="79E0F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8667EC"/>
    <w:multiLevelType w:val="hybridMultilevel"/>
    <w:tmpl w:val="9C247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E82CB8"/>
    <w:multiLevelType w:val="hybridMultilevel"/>
    <w:tmpl w:val="701C6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2D7217"/>
    <w:multiLevelType w:val="hybridMultilevel"/>
    <w:tmpl w:val="5CE2E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914F12"/>
    <w:multiLevelType w:val="hybridMultilevel"/>
    <w:tmpl w:val="4F782B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A962B2"/>
    <w:multiLevelType w:val="hybridMultilevel"/>
    <w:tmpl w:val="3282E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01700C"/>
    <w:multiLevelType w:val="hybridMultilevel"/>
    <w:tmpl w:val="8970F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7758AB"/>
    <w:multiLevelType w:val="hybridMultilevel"/>
    <w:tmpl w:val="9B360768"/>
    <w:lvl w:ilvl="0" w:tplc="A9EC34BE">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BD93834"/>
    <w:multiLevelType w:val="hybridMultilevel"/>
    <w:tmpl w:val="E6C6C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F3691E"/>
    <w:multiLevelType w:val="hybridMultilevel"/>
    <w:tmpl w:val="250809B4"/>
    <w:lvl w:ilvl="0" w:tplc="A3FED136">
      <w:start w:val="1"/>
      <w:numFmt w:val="decimal"/>
      <w:lvlText w:val="%1."/>
      <w:lvlJc w:val="left"/>
      <w:pPr>
        <w:ind w:left="360" w:hanging="360"/>
      </w:pPr>
      <w:rPr>
        <w:rFonts w:eastAsia="Times New Roman"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3FF5C3E"/>
    <w:multiLevelType w:val="hybridMultilevel"/>
    <w:tmpl w:val="623E3C86"/>
    <w:lvl w:ilvl="0" w:tplc="44281C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F228F7"/>
    <w:multiLevelType w:val="multilevel"/>
    <w:tmpl w:val="AEB02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C92C2F"/>
    <w:multiLevelType w:val="hybridMultilevel"/>
    <w:tmpl w:val="623E3C86"/>
    <w:lvl w:ilvl="0" w:tplc="44281C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1C218C"/>
    <w:multiLevelType w:val="hybridMultilevel"/>
    <w:tmpl w:val="8E721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EA58C4"/>
    <w:multiLevelType w:val="hybridMultilevel"/>
    <w:tmpl w:val="542A38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AB012C2"/>
    <w:multiLevelType w:val="hybridMultilevel"/>
    <w:tmpl w:val="F9142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5B3CF7"/>
    <w:multiLevelType w:val="hybridMultilevel"/>
    <w:tmpl w:val="68005A40"/>
    <w:lvl w:ilvl="0" w:tplc="48AC5D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A145C8"/>
    <w:multiLevelType w:val="hybridMultilevel"/>
    <w:tmpl w:val="7708DA2C"/>
    <w:lvl w:ilvl="0" w:tplc="5208982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066373"/>
    <w:multiLevelType w:val="hybridMultilevel"/>
    <w:tmpl w:val="F3AC9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22324">
    <w:abstractNumId w:val="17"/>
  </w:num>
  <w:num w:numId="2" w16cid:durableId="321861172">
    <w:abstractNumId w:val="11"/>
  </w:num>
  <w:num w:numId="3" w16cid:durableId="508451403">
    <w:abstractNumId w:val="33"/>
  </w:num>
  <w:num w:numId="4" w16cid:durableId="1507599342">
    <w:abstractNumId w:val="38"/>
  </w:num>
  <w:num w:numId="5" w16cid:durableId="1561402678">
    <w:abstractNumId w:val="6"/>
  </w:num>
  <w:num w:numId="6" w16cid:durableId="869142976">
    <w:abstractNumId w:val="28"/>
  </w:num>
  <w:num w:numId="7" w16cid:durableId="327296870">
    <w:abstractNumId w:val="37"/>
  </w:num>
  <w:num w:numId="8" w16cid:durableId="5383992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8923826">
    <w:abstractNumId w:val="2"/>
  </w:num>
  <w:num w:numId="10" w16cid:durableId="143472765">
    <w:abstractNumId w:val="43"/>
  </w:num>
  <w:num w:numId="11" w16cid:durableId="766657491">
    <w:abstractNumId w:val="49"/>
  </w:num>
  <w:num w:numId="12" w16cid:durableId="101346968">
    <w:abstractNumId w:val="36"/>
  </w:num>
  <w:num w:numId="13" w16cid:durableId="1498879922">
    <w:abstractNumId w:val="25"/>
  </w:num>
  <w:num w:numId="14" w16cid:durableId="1240602637">
    <w:abstractNumId w:val="9"/>
  </w:num>
  <w:num w:numId="15" w16cid:durableId="364598802">
    <w:abstractNumId w:val="48"/>
  </w:num>
  <w:num w:numId="16" w16cid:durableId="942881377">
    <w:abstractNumId w:val="46"/>
  </w:num>
  <w:num w:numId="17" w16cid:durableId="1788423229">
    <w:abstractNumId w:val="41"/>
  </w:num>
  <w:num w:numId="18" w16cid:durableId="280652344">
    <w:abstractNumId w:val="40"/>
  </w:num>
  <w:num w:numId="19" w16cid:durableId="1655447394">
    <w:abstractNumId w:val="13"/>
  </w:num>
  <w:num w:numId="20" w16cid:durableId="1461849499">
    <w:abstractNumId w:val="42"/>
  </w:num>
  <w:num w:numId="21" w16cid:durableId="991375771">
    <w:abstractNumId w:val="21"/>
  </w:num>
  <w:num w:numId="22" w16cid:durableId="119032270">
    <w:abstractNumId w:val="26"/>
  </w:num>
  <w:num w:numId="23" w16cid:durableId="160321501">
    <w:abstractNumId w:val="32"/>
  </w:num>
  <w:num w:numId="24" w16cid:durableId="1268270102">
    <w:abstractNumId w:val="3"/>
  </w:num>
  <w:num w:numId="25" w16cid:durableId="525412869">
    <w:abstractNumId w:val="16"/>
  </w:num>
  <w:num w:numId="26" w16cid:durableId="1466311847">
    <w:abstractNumId w:val="14"/>
  </w:num>
  <w:num w:numId="27" w16cid:durableId="1652634853">
    <w:abstractNumId w:val="30"/>
  </w:num>
  <w:num w:numId="28" w16cid:durableId="1695888917">
    <w:abstractNumId w:val="1"/>
  </w:num>
  <w:num w:numId="29" w16cid:durableId="1730760745">
    <w:abstractNumId w:val="0"/>
  </w:num>
  <w:num w:numId="30" w16cid:durableId="469905192">
    <w:abstractNumId w:val="7"/>
  </w:num>
  <w:num w:numId="31" w16cid:durableId="1671717528">
    <w:abstractNumId w:val="31"/>
  </w:num>
  <w:num w:numId="32" w16cid:durableId="38090457">
    <w:abstractNumId w:val="35"/>
  </w:num>
  <w:num w:numId="33" w16cid:durableId="288630526">
    <w:abstractNumId w:val="4"/>
  </w:num>
  <w:num w:numId="34" w16cid:durableId="580531507">
    <w:abstractNumId w:val="10"/>
  </w:num>
  <w:num w:numId="35" w16cid:durableId="1932464999">
    <w:abstractNumId w:val="8"/>
  </w:num>
  <w:num w:numId="36" w16cid:durableId="1007749702">
    <w:abstractNumId w:val="23"/>
  </w:num>
  <w:num w:numId="37" w16cid:durableId="171408958">
    <w:abstractNumId w:val="34"/>
  </w:num>
  <w:num w:numId="38" w16cid:durableId="629749617">
    <w:abstractNumId w:val="12"/>
  </w:num>
  <w:num w:numId="39" w16cid:durableId="977878548">
    <w:abstractNumId w:val="27"/>
  </w:num>
  <w:num w:numId="40" w16cid:durableId="554584762">
    <w:abstractNumId w:val="5"/>
  </w:num>
  <w:num w:numId="41" w16cid:durableId="1889680847">
    <w:abstractNumId w:val="39"/>
  </w:num>
  <w:num w:numId="42" w16cid:durableId="1571887133">
    <w:abstractNumId w:val="22"/>
  </w:num>
  <w:num w:numId="43" w16cid:durableId="659969628">
    <w:abstractNumId w:val="15"/>
  </w:num>
  <w:num w:numId="44" w16cid:durableId="1032069079">
    <w:abstractNumId w:val="47"/>
  </w:num>
  <w:num w:numId="45" w16cid:durableId="1158811945">
    <w:abstractNumId w:val="18"/>
  </w:num>
  <w:num w:numId="46" w16cid:durableId="711031432">
    <w:abstractNumId w:val="29"/>
  </w:num>
  <w:num w:numId="47" w16cid:durableId="265310625">
    <w:abstractNumId w:val="44"/>
  </w:num>
  <w:num w:numId="48" w16cid:durableId="1809468657">
    <w:abstractNumId w:val="19"/>
  </w:num>
  <w:num w:numId="49" w16cid:durableId="1425152592">
    <w:abstractNumId w:val="20"/>
  </w:num>
  <w:num w:numId="50" w16cid:durableId="69018403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3FD"/>
    <w:rsid w:val="00002820"/>
    <w:rsid w:val="000039AA"/>
    <w:rsid w:val="00005336"/>
    <w:rsid w:val="00006BCB"/>
    <w:rsid w:val="00011D63"/>
    <w:rsid w:val="0001259B"/>
    <w:rsid w:val="000204EA"/>
    <w:rsid w:val="00024F85"/>
    <w:rsid w:val="000279C1"/>
    <w:rsid w:val="00027A8B"/>
    <w:rsid w:val="0003333D"/>
    <w:rsid w:val="000356E2"/>
    <w:rsid w:val="0003597C"/>
    <w:rsid w:val="00036537"/>
    <w:rsid w:val="00036D1A"/>
    <w:rsid w:val="00037724"/>
    <w:rsid w:val="00037E67"/>
    <w:rsid w:val="00040A6B"/>
    <w:rsid w:val="000414C6"/>
    <w:rsid w:val="00043D53"/>
    <w:rsid w:val="00044A33"/>
    <w:rsid w:val="0004771B"/>
    <w:rsid w:val="00050673"/>
    <w:rsid w:val="000511B5"/>
    <w:rsid w:val="0005765E"/>
    <w:rsid w:val="00061410"/>
    <w:rsid w:val="00062D58"/>
    <w:rsid w:val="00064022"/>
    <w:rsid w:val="0006485D"/>
    <w:rsid w:val="00066ED5"/>
    <w:rsid w:val="00067CEE"/>
    <w:rsid w:val="000703BF"/>
    <w:rsid w:val="000739B9"/>
    <w:rsid w:val="000754D9"/>
    <w:rsid w:val="000762B3"/>
    <w:rsid w:val="0007733D"/>
    <w:rsid w:val="0008163F"/>
    <w:rsid w:val="00082A2E"/>
    <w:rsid w:val="000835B6"/>
    <w:rsid w:val="00083664"/>
    <w:rsid w:val="00085923"/>
    <w:rsid w:val="00085D0F"/>
    <w:rsid w:val="00086311"/>
    <w:rsid w:val="00086FB5"/>
    <w:rsid w:val="00087EC5"/>
    <w:rsid w:val="000902EC"/>
    <w:rsid w:val="00093E86"/>
    <w:rsid w:val="00094BF4"/>
    <w:rsid w:val="000952E4"/>
    <w:rsid w:val="0009671B"/>
    <w:rsid w:val="00096EFB"/>
    <w:rsid w:val="00097212"/>
    <w:rsid w:val="0009741D"/>
    <w:rsid w:val="00097F1A"/>
    <w:rsid w:val="000A461D"/>
    <w:rsid w:val="000A6258"/>
    <w:rsid w:val="000A6EA6"/>
    <w:rsid w:val="000A7DB9"/>
    <w:rsid w:val="000B0ED7"/>
    <w:rsid w:val="000B17E9"/>
    <w:rsid w:val="000B1DDF"/>
    <w:rsid w:val="000B1EFA"/>
    <w:rsid w:val="000B3D01"/>
    <w:rsid w:val="000B755D"/>
    <w:rsid w:val="000C0E7D"/>
    <w:rsid w:val="000C3CE0"/>
    <w:rsid w:val="000C46ED"/>
    <w:rsid w:val="000C4B51"/>
    <w:rsid w:val="000C58CA"/>
    <w:rsid w:val="000C74B1"/>
    <w:rsid w:val="000C7ACB"/>
    <w:rsid w:val="000D1488"/>
    <w:rsid w:val="000D14F4"/>
    <w:rsid w:val="000D25F0"/>
    <w:rsid w:val="000D2D3F"/>
    <w:rsid w:val="000D4B1D"/>
    <w:rsid w:val="000D5518"/>
    <w:rsid w:val="000D601E"/>
    <w:rsid w:val="000D70BB"/>
    <w:rsid w:val="000E3686"/>
    <w:rsid w:val="000E6372"/>
    <w:rsid w:val="000E7468"/>
    <w:rsid w:val="000F12AE"/>
    <w:rsid w:val="000F139B"/>
    <w:rsid w:val="000F34CA"/>
    <w:rsid w:val="000F4C9D"/>
    <w:rsid w:val="0010443D"/>
    <w:rsid w:val="00107801"/>
    <w:rsid w:val="001207A0"/>
    <w:rsid w:val="0012297B"/>
    <w:rsid w:val="00126087"/>
    <w:rsid w:val="001308D2"/>
    <w:rsid w:val="00130B93"/>
    <w:rsid w:val="00135E18"/>
    <w:rsid w:val="00144916"/>
    <w:rsid w:val="00144B36"/>
    <w:rsid w:val="001461BF"/>
    <w:rsid w:val="0015180B"/>
    <w:rsid w:val="00152706"/>
    <w:rsid w:val="001529E3"/>
    <w:rsid w:val="0015371B"/>
    <w:rsid w:val="00153B21"/>
    <w:rsid w:val="00154830"/>
    <w:rsid w:val="00156804"/>
    <w:rsid w:val="0015696D"/>
    <w:rsid w:val="00157C61"/>
    <w:rsid w:val="00161382"/>
    <w:rsid w:val="001621F2"/>
    <w:rsid w:val="00163429"/>
    <w:rsid w:val="00163C9D"/>
    <w:rsid w:val="00165AFC"/>
    <w:rsid w:val="001679E0"/>
    <w:rsid w:val="00171697"/>
    <w:rsid w:val="00175C5F"/>
    <w:rsid w:val="00176B59"/>
    <w:rsid w:val="001804B7"/>
    <w:rsid w:val="00180C02"/>
    <w:rsid w:val="00182030"/>
    <w:rsid w:val="00187FD1"/>
    <w:rsid w:val="00191CED"/>
    <w:rsid w:val="001939DF"/>
    <w:rsid w:val="00195B4E"/>
    <w:rsid w:val="00197A75"/>
    <w:rsid w:val="001A3F9A"/>
    <w:rsid w:val="001A41F1"/>
    <w:rsid w:val="001A47B6"/>
    <w:rsid w:val="001A731D"/>
    <w:rsid w:val="001B2DB4"/>
    <w:rsid w:val="001B3C50"/>
    <w:rsid w:val="001B3F23"/>
    <w:rsid w:val="001C0DBE"/>
    <w:rsid w:val="001C41CC"/>
    <w:rsid w:val="001C438A"/>
    <w:rsid w:val="001C5E52"/>
    <w:rsid w:val="001C695B"/>
    <w:rsid w:val="001D02E4"/>
    <w:rsid w:val="001D0DC5"/>
    <w:rsid w:val="001D1BB3"/>
    <w:rsid w:val="001E0FFE"/>
    <w:rsid w:val="001E43BA"/>
    <w:rsid w:val="001E6603"/>
    <w:rsid w:val="001E69E1"/>
    <w:rsid w:val="001E7CE5"/>
    <w:rsid w:val="001F1681"/>
    <w:rsid w:val="001F1CC7"/>
    <w:rsid w:val="001F28AA"/>
    <w:rsid w:val="001F309C"/>
    <w:rsid w:val="001F5573"/>
    <w:rsid w:val="001F7DBB"/>
    <w:rsid w:val="0020020F"/>
    <w:rsid w:val="00206314"/>
    <w:rsid w:val="00206BD9"/>
    <w:rsid w:val="00207904"/>
    <w:rsid w:val="00210637"/>
    <w:rsid w:val="00210CE2"/>
    <w:rsid w:val="0021300F"/>
    <w:rsid w:val="00214453"/>
    <w:rsid w:val="00215260"/>
    <w:rsid w:val="00221388"/>
    <w:rsid w:val="00224383"/>
    <w:rsid w:val="00224708"/>
    <w:rsid w:val="0022507A"/>
    <w:rsid w:val="00225920"/>
    <w:rsid w:val="00226690"/>
    <w:rsid w:val="00230946"/>
    <w:rsid w:val="00235AEF"/>
    <w:rsid w:val="00240365"/>
    <w:rsid w:val="002447A3"/>
    <w:rsid w:val="00244A87"/>
    <w:rsid w:val="00245594"/>
    <w:rsid w:val="00250635"/>
    <w:rsid w:val="002546EC"/>
    <w:rsid w:val="00256508"/>
    <w:rsid w:val="00262353"/>
    <w:rsid w:val="0026269D"/>
    <w:rsid w:val="002626E2"/>
    <w:rsid w:val="0026423B"/>
    <w:rsid w:val="0026662C"/>
    <w:rsid w:val="00267080"/>
    <w:rsid w:val="00271FBB"/>
    <w:rsid w:val="002724A0"/>
    <w:rsid w:val="002726B6"/>
    <w:rsid w:val="00272803"/>
    <w:rsid w:val="00274551"/>
    <w:rsid w:val="00275745"/>
    <w:rsid w:val="002762C3"/>
    <w:rsid w:val="002813A4"/>
    <w:rsid w:val="00282B9B"/>
    <w:rsid w:val="00285272"/>
    <w:rsid w:val="00285C02"/>
    <w:rsid w:val="0029178E"/>
    <w:rsid w:val="0029349E"/>
    <w:rsid w:val="00293EF8"/>
    <w:rsid w:val="0029419B"/>
    <w:rsid w:val="002960DE"/>
    <w:rsid w:val="00296314"/>
    <w:rsid w:val="002979A0"/>
    <w:rsid w:val="00297B3A"/>
    <w:rsid w:val="002A1F00"/>
    <w:rsid w:val="002A2037"/>
    <w:rsid w:val="002A4AC2"/>
    <w:rsid w:val="002A6A28"/>
    <w:rsid w:val="002A6BD7"/>
    <w:rsid w:val="002B3319"/>
    <w:rsid w:val="002B3729"/>
    <w:rsid w:val="002B799A"/>
    <w:rsid w:val="002C39A3"/>
    <w:rsid w:val="002C4577"/>
    <w:rsid w:val="002C4A6A"/>
    <w:rsid w:val="002C5156"/>
    <w:rsid w:val="002D06CF"/>
    <w:rsid w:val="002D159D"/>
    <w:rsid w:val="002D2448"/>
    <w:rsid w:val="002D33BF"/>
    <w:rsid w:val="002E151D"/>
    <w:rsid w:val="002E2FE8"/>
    <w:rsid w:val="002E34FA"/>
    <w:rsid w:val="002E698D"/>
    <w:rsid w:val="002E713A"/>
    <w:rsid w:val="002E7842"/>
    <w:rsid w:val="002F0848"/>
    <w:rsid w:val="002F27FC"/>
    <w:rsid w:val="002F4B6C"/>
    <w:rsid w:val="002F5949"/>
    <w:rsid w:val="00302A32"/>
    <w:rsid w:val="00302EF0"/>
    <w:rsid w:val="00304F98"/>
    <w:rsid w:val="00307DF0"/>
    <w:rsid w:val="00312DD0"/>
    <w:rsid w:val="00314E15"/>
    <w:rsid w:val="0032651E"/>
    <w:rsid w:val="00335271"/>
    <w:rsid w:val="003370B0"/>
    <w:rsid w:val="00337488"/>
    <w:rsid w:val="0034485D"/>
    <w:rsid w:val="00345838"/>
    <w:rsid w:val="00347C46"/>
    <w:rsid w:val="003512A5"/>
    <w:rsid w:val="00351B87"/>
    <w:rsid w:val="003552C6"/>
    <w:rsid w:val="00360887"/>
    <w:rsid w:val="00364FF7"/>
    <w:rsid w:val="00365E82"/>
    <w:rsid w:val="00371370"/>
    <w:rsid w:val="003720FC"/>
    <w:rsid w:val="003743DA"/>
    <w:rsid w:val="00374520"/>
    <w:rsid w:val="00374BB7"/>
    <w:rsid w:val="00375F43"/>
    <w:rsid w:val="003764BD"/>
    <w:rsid w:val="00376579"/>
    <w:rsid w:val="003779BA"/>
    <w:rsid w:val="00382210"/>
    <w:rsid w:val="00383FDD"/>
    <w:rsid w:val="00384575"/>
    <w:rsid w:val="00384E33"/>
    <w:rsid w:val="003878E0"/>
    <w:rsid w:val="00390097"/>
    <w:rsid w:val="0039219B"/>
    <w:rsid w:val="003932BB"/>
    <w:rsid w:val="00393B9C"/>
    <w:rsid w:val="00394925"/>
    <w:rsid w:val="00394DF4"/>
    <w:rsid w:val="003A11A6"/>
    <w:rsid w:val="003A13D7"/>
    <w:rsid w:val="003A17BE"/>
    <w:rsid w:val="003A6CB7"/>
    <w:rsid w:val="003A7A24"/>
    <w:rsid w:val="003B21BF"/>
    <w:rsid w:val="003B5A42"/>
    <w:rsid w:val="003B6933"/>
    <w:rsid w:val="003B771B"/>
    <w:rsid w:val="003C08B9"/>
    <w:rsid w:val="003C5C29"/>
    <w:rsid w:val="003C7C69"/>
    <w:rsid w:val="003D0479"/>
    <w:rsid w:val="003D160E"/>
    <w:rsid w:val="003D2D72"/>
    <w:rsid w:val="003D362C"/>
    <w:rsid w:val="003D39EC"/>
    <w:rsid w:val="003D5911"/>
    <w:rsid w:val="003E07DC"/>
    <w:rsid w:val="003E2A35"/>
    <w:rsid w:val="003E5254"/>
    <w:rsid w:val="003F5A59"/>
    <w:rsid w:val="003F791D"/>
    <w:rsid w:val="00400675"/>
    <w:rsid w:val="00400CE4"/>
    <w:rsid w:val="00402E58"/>
    <w:rsid w:val="0040357D"/>
    <w:rsid w:val="0040473C"/>
    <w:rsid w:val="004061BD"/>
    <w:rsid w:val="0041190A"/>
    <w:rsid w:val="00415072"/>
    <w:rsid w:val="0042033C"/>
    <w:rsid w:val="00421B26"/>
    <w:rsid w:val="004274AF"/>
    <w:rsid w:val="004316C6"/>
    <w:rsid w:val="0043229A"/>
    <w:rsid w:val="00432E72"/>
    <w:rsid w:val="004330BD"/>
    <w:rsid w:val="004352FE"/>
    <w:rsid w:val="00436EE2"/>
    <w:rsid w:val="00437B43"/>
    <w:rsid w:val="00444F87"/>
    <w:rsid w:val="0044511B"/>
    <w:rsid w:val="004451BD"/>
    <w:rsid w:val="0044690C"/>
    <w:rsid w:val="0045014D"/>
    <w:rsid w:val="00452856"/>
    <w:rsid w:val="0045603D"/>
    <w:rsid w:val="00456AE5"/>
    <w:rsid w:val="00456FE8"/>
    <w:rsid w:val="004604FD"/>
    <w:rsid w:val="004624CA"/>
    <w:rsid w:val="0046266D"/>
    <w:rsid w:val="00462982"/>
    <w:rsid w:val="00463C29"/>
    <w:rsid w:val="004702B1"/>
    <w:rsid w:val="00470E00"/>
    <w:rsid w:val="004722A8"/>
    <w:rsid w:val="00472361"/>
    <w:rsid w:val="00472570"/>
    <w:rsid w:val="00473097"/>
    <w:rsid w:val="004756D5"/>
    <w:rsid w:val="004758F6"/>
    <w:rsid w:val="0048226D"/>
    <w:rsid w:val="00482732"/>
    <w:rsid w:val="0048353D"/>
    <w:rsid w:val="004845CA"/>
    <w:rsid w:val="0048596F"/>
    <w:rsid w:val="00490895"/>
    <w:rsid w:val="00493F60"/>
    <w:rsid w:val="00494301"/>
    <w:rsid w:val="00496E21"/>
    <w:rsid w:val="004A0972"/>
    <w:rsid w:val="004A0EF6"/>
    <w:rsid w:val="004A3925"/>
    <w:rsid w:val="004A4CB9"/>
    <w:rsid w:val="004A520B"/>
    <w:rsid w:val="004A719C"/>
    <w:rsid w:val="004A733A"/>
    <w:rsid w:val="004B4DD8"/>
    <w:rsid w:val="004C100D"/>
    <w:rsid w:val="004C3140"/>
    <w:rsid w:val="004C6583"/>
    <w:rsid w:val="004D0AB5"/>
    <w:rsid w:val="004D1A96"/>
    <w:rsid w:val="004D1AE6"/>
    <w:rsid w:val="004D6203"/>
    <w:rsid w:val="004D682E"/>
    <w:rsid w:val="004E242B"/>
    <w:rsid w:val="004E38F6"/>
    <w:rsid w:val="004E47D8"/>
    <w:rsid w:val="004E495C"/>
    <w:rsid w:val="004E6152"/>
    <w:rsid w:val="004E6D0B"/>
    <w:rsid w:val="004F053D"/>
    <w:rsid w:val="004F1215"/>
    <w:rsid w:val="004F3A55"/>
    <w:rsid w:val="004F3EE4"/>
    <w:rsid w:val="004F477B"/>
    <w:rsid w:val="004F50EB"/>
    <w:rsid w:val="004F655A"/>
    <w:rsid w:val="00501B07"/>
    <w:rsid w:val="00501C33"/>
    <w:rsid w:val="005068EF"/>
    <w:rsid w:val="00510D44"/>
    <w:rsid w:val="00521935"/>
    <w:rsid w:val="00521C1D"/>
    <w:rsid w:val="00521F2F"/>
    <w:rsid w:val="00522489"/>
    <w:rsid w:val="00522EEE"/>
    <w:rsid w:val="00523627"/>
    <w:rsid w:val="005263AF"/>
    <w:rsid w:val="00533F6E"/>
    <w:rsid w:val="005344CC"/>
    <w:rsid w:val="00534577"/>
    <w:rsid w:val="005374DD"/>
    <w:rsid w:val="005419BF"/>
    <w:rsid w:val="00541DD0"/>
    <w:rsid w:val="00544039"/>
    <w:rsid w:val="00547BC4"/>
    <w:rsid w:val="00552F84"/>
    <w:rsid w:val="00554BCD"/>
    <w:rsid w:val="00554FBB"/>
    <w:rsid w:val="005556DB"/>
    <w:rsid w:val="0055683B"/>
    <w:rsid w:val="00557CA8"/>
    <w:rsid w:val="00557E1F"/>
    <w:rsid w:val="005642C7"/>
    <w:rsid w:val="00573CDD"/>
    <w:rsid w:val="00576646"/>
    <w:rsid w:val="00577D45"/>
    <w:rsid w:val="00584FC9"/>
    <w:rsid w:val="00586DAD"/>
    <w:rsid w:val="00586FF5"/>
    <w:rsid w:val="00587147"/>
    <w:rsid w:val="00587765"/>
    <w:rsid w:val="00590C93"/>
    <w:rsid w:val="00591F83"/>
    <w:rsid w:val="00592482"/>
    <w:rsid w:val="00592E48"/>
    <w:rsid w:val="00593CDB"/>
    <w:rsid w:val="0059497C"/>
    <w:rsid w:val="00595377"/>
    <w:rsid w:val="005960DA"/>
    <w:rsid w:val="005A107A"/>
    <w:rsid w:val="005A173B"/>
    <w:rsid w:val="005A1CD2"/>
    <w:rsid w:val="005A1D9D"/>
    <w:rsid w:val="005A43A4"/>
    <w:rsid w:val="005A4830"/>
    <w:rsid w:val="005A5F70"/>
    <w:rsid w:val="005A7965"/>
    <w:rsid w:val="005B0382"/>
    <w:rsid w:val="005B0AA2"/>
    <w:rsid w:val="005B267F"/>
    <w:rsid w:val="005B320F"/>
    <w:rsid w:val="005B4D10"/>
    <w:rsid w:val="005B65AC"/>
    <w:rsid w:val="005B6840"/>
    <w:rsid w:val="005B7793"/>
    <w:rsid w:val="005B783D"/>
    <w:rsid w:val="005C05FA"/>
    <w:rsid w:val="005C0F74"/>
    <w:rsid w:val="005C11F8"/>
    <w:rsid w:val="005C2679"/>
    <w:rsid w:val="005C38DD"/>
    <w:rsid w:val="005C7571"/>
    <w:rsid w:val="005D44B5"/>
    <w:rsid w:val="005D4C24"/>
    <w:rsid w:val="005D4CB3"/>
    <w:rsid w:val="005E2A20"/>
    <w:rsid w:val="005E4BCE"/>
    <w:rsid w:val="005E4D5B"/>
    <w:rsid w:val="005E7643"/>
    <w:rsid w:val="005F07BC"/>
    <w:rsid w:val="005F211D"/>
    <w:rsid w:val="005F28E7"/>
    <w:rsid w:val="005F53B3"/>
    <w:rsid w:val="005F591A"/>
    <w:rsid w:val="005F7A89"/>
    <w:rsid w:val="00600D57"/>
    <w:rsid w:val="00602E53"/>
    <w:rsid w:val="00606409"/>
    <w:rsid w:val="006071D8"/>
    <w:rsid w:val="00610F52"/>
    <w:rsid w:val="006130A3"/>
    <w:rsid w:val="006156FD"/>
    <w:rsid w:val="00615ECF"/>
    <w:rsid w:val="00616045"/>
    <w:rsid w:val="00616C24"/>
    <w:rsid w:val="00616CB8"/>
    <w:rsid w:val="00616D9C"/>
    <w:rsid w:val="00622EBE"/>
    <w:rsid w:val="0062594D"/>
    <w:rsid w:val="00625C37"/>
    <w:rsid w:val="00630EC5"/>
    <w:rsid w:val="006358D0"/>
    <w:rsid w:val="00636D69"/>
    <w:rsid w:val="00637144"/>
    <w:rsid w:val="00640BC3"/>
    <w:rsid w:val="0064340B"/>
    <w:rsid w:val="00643AE4"/>
    <w:rsid w:val="00647E59"/>
    <w:rsid w:val="006502EE"/>
    <w:rsid w:val="006512C3"/>
    <w:rsid w:val="00653EA9"/>
    <w:rsid w:val="00653F8C"/>
    <w:rsid w:val="006548AB"/>
    <w:rsid w:val="00655F4C"/>
    <w:rsid w:val="0065604D"/>
    <w:rsid w:val="00662C72"/>
    <w:rsid w:val="00663504"/>
    <w:rsid w:val="00663E9D"/>
    <w:rsid w:val="00665746"/>
    <w:rsid w:val="00671484"/>
    <w:rsid w:val="00671F96"/>
    <w:rsid w:val="0067223C"/>
    <w:rsid w:val="006722A1"/>
    <w:rsid w:val="00675FC1"/>
    <w:rsid w:val="0067637B"/>
    <w:rsid w:val="006763EF"/>
    <w:rsid w:val="00676DC5"/>
    <w:rsid w:val="00680B6B"/>
    <w:rsid w:val="00682877"/>
    <w:rsid w:val="00685A6E"/>
    <w:rsid w:val="0068657D"/>
    <w:rsid w:val="00686904"/>
    <w:rsid w:val="0068728A"/>
    <w:rsid w:val="00691FC1"/>
    <w:rsid w:val="0069735E"/>
    <w:rsid w:val="006A3880"/>
    <w:rsid w:val="006A6804"/>
    <w:rsid w:val="006B3139"/>
    <w:rsid w:val="006B4509"/>
    <w:rsid w:val="006B5843"/>
    <w:rsid w:val="006C1945"/>
    <w:rsid w:val="006C2DF5"/>
    <w:rsid w:val="006C3F28"/>
    <w:rsid w:val="006C6E81"/>
    <w:rsid w:val="006D033F"/>
    <w:rsid w:val="006D1287"/>
    <w:rsid w:val="006D45D6"/>
    <w:rsid w:val="006D6C5C"/>
    <w:rsid w:val="006E1812"/>
    <w:rsid w:val="006E32B2"/>
    <w:rsid w:val="006E476A"/>
    <w:rsid w:val="006E4BB5"/>
    <w:rsid w:val="006E6D9E"/>
    <w:rsid w:val="006F35F0"/>
    <w:rsid w:val="006F3CDE"/>
    <w:rsid w:val="006F527D"/>
    <w:rsid w:val="006F5F15"/>
    <w:rsid w:val="006F6076"/>
    <w:rsid w:val="006F70AB"/>
    <w:rsid w:val="007024F0"/>
    <w:rsid w:val="00703E4D"/>
    <w:rsid w:val="00704ABF"/>
    <w:rsid w:val="00706474"/>
    <w:rsid w:val="007064E7"/>
    <w:rsid w:val="00707793"/>
    <w:rsid w:val="0071112A"/>
    <w:rsid w:val="00711310"/>
    <w:rsid w:val="0071206A"/>
    <w:rsid w:val="00715A69"/>
    <w:rsid w:val="00720FF9"/>
    <w:rsid w:val="00723745"/>
    <w:rsid w:val="00724E73"/>
    <w:rsid w:val="00726B59"/>
    <w:rsid w:val="00727984"/>
    <w:rsid w:val="007311C3"/>
    <w:rsid w:val="00731231"/>
    <w:rsid w:val="00731D1B"/>
    <w:rsid w:val="0073501F"/>
    <w:rsid w:val="00736A96"/>
    <w:rsid w:val="00740133"/>
    <w:rsid w:val="00745234"/>
    <w:rsid w:val="007452B5"/>
    <w:rsid w:val="007459A9"/>
    <w:rsid w:val="007475CB"/>
    <w:rsid w:val="00751B16"/>
    <w:rsid w:val="00753BDE"/>
    <w:rsid w:val="00754382"/>
    <w:rsid w:val="00755F1D"/>
    <w:rsid w:val="007610A6"/>
    <w:rsid w:val="0076161A"/>
    <w:rsid w:val="00762651"/>
    <w:rsid w:val="0076435C"/>
    <w:rsid w:val="00765F0F"/>
    <w:rsid w:val="007673F3"/>
    <w:rsid w:val="00767694"/>
    <w:rsid w:val="00767A80"/>
    <w:rsid w:val="00771EE3"/>
    <w:rsid w:val="007742F8"/>
    <w:rsid w:val="00775684"/>
    <w:rsid w:val="00775AC9"/>
    <w:rsid w:val="00776E63"/>
    <w:rsid w:val="00782C41"/>
    <w:rsid w:val="00782E2E"/>
    <w:rsid w:val="00783085"/>
    <w:rsid w:val="00783A59"/>
    <w:rsid w:val="00784670"/>
    <w:rsid w:val="007853E5"/>
    <w:rsid w:val="007857F6"/>
    <w:rsid w:val="00787394"/>
    <w:rsid w:val="00791310"/>
    <w:rsid w:val="00792C05"/>
    <w:rsid w:val="00792EAF"/>
    <w:rsid w:val="0079357E"/>
    <w:rsid w:val="007950A1"/>
    <w:rsid w:val="007A0480"/>
    <w:rsid w:val="007A1C13"/>
    <w:rsid w:val="007A4975"/>
    <w:rsid w:val="007A59C7"/>
    <w:rsid w:val="007B091A"/>
    <w:rsid w:val="007B6860"/>
    <w:rsid w:val="007B6D55"/>
    <w:rsid w:val="007C3248"/>
    <w:rsid w:val="007C4782"/>
    <w:rsid w:val="007D0855"/>
    <w:rsid w:val="007D0EB4"/>
    <w:rsid w:val="007D4A98"/>
    <w:rsid w:val="007D666A"/>
    <w:rsid w:val="007E2FFC"/>
    <w:rsid w:val="007E54BA"/>
    <w:rsid w:val="007E58C7"/>
    <w:rsid w:val="007F2B9A"/>
    <w:rsid w:val="007F6F02"/>
    <w:rsid w:val="007F7BE8"/>
    <w:rsid w:val="00801DEA"/>
    <w:rsid w:val="00803840"/>
    <w:rsid w:val="00803BF6"/>
    <w:rsid w:val="0080531F"/>
    <w:rsid w:val="00805A28"/>
    <w:rsid w:val="00805BD3"/>
    <w:rsid w:val="00806A00"/>
    <w:rsid w:val="00806E96"/>
    <w:rsid w:val="008118E2"/>
    <w:rsid w:val="00811D6E"/>
    <w:rsid w:val="008163AD"/>
    <w:rsid w:val="00816F29"/>
    <w:rsid w:val="00820949"/>
    <w:rsid w:val="008212B7"/>
    <w:rsid w:val="0082167B"/>
    <w:rsid w:val="00821BEA"/>
    <w:rsid w:val="008231F3"/>
    <w:rsid w:val="00824A9F"/>
    <w:rsid w:val="00824CCF"/>
    <w:rsid w:val="008256F3"/>
    <w:rsid w:val="00826DF1"/>
    <w:rsid w:val="00832F8B"/>
    <w:rsid w:val="0083525B"/>
    <w:rsid w:val="008363A0"/>
    <w:rsid w:val="0084003A"/>
    <w:rsid w:val="00841170"/>
    <w:rsid w:val="00843DED"/>
    <w:rsid w:val="00845033"/>
    <w:rsid w:val="00850C52"/>
    <w:rsid w:val="00850C9A"/>
    <w:rsid w:val="0085211F"/>
    <w:rsid w:val="00853AC8"/>
    <w:rsid w:val="0085467C"/>
    <w:rsid w:val="00855D9F"/>
    <w:rsid w:val="00857DBA"/>
    <w:rsid w:val="008617C5"/>
    <w:rsid w:val="008619EF"/>
    <w:rsid w:val="00864784"/>
    <w:rsid w:val="00865B86"/>
    <w:rsid w:val="008660F3"/>
    <w:rsid w:val="0086643F"/>
    <w:rsid w:val="00867AF0"/>
    <w:rsid w:val="00870EF3"/>
    <w:rsid w:val="0087259A"/>
    <w:rsid w:val="00875947"/>
    <w:rsid w:val="00875B4C"/>
    <w:rsid w:val="00876A48"/>
    <w:rsid w:val="00877611"/>
    <w:rsid w:val="00877D9F"/>
    <w:rsid w:val="0088237E"/>
    <w:rsid w:val="00882905"/>
    <w:rsid w:val="00882921"/>
    <w:rsid w:val="00883319"/>
    <w:rsid w:val="008873C4"/>
    <w:rsid w:val="008926A6"/>
    <w:rsid w:val="0089334D"/>
    <w:rsid w:val="00894379"/>
    <w:rsid w:val="008950BF"/>
    <w:rsid w:val="008967D9"/>
    <w:rsid w:val="00896E80"/>
    <w:rsid w:val="00897F2D"/>
    <w:rsid w:val="008A2A3B"/>
    <w:rsid w:val="008A3C13"/>
    <w:rsid w:val="008A5421"/>
    <w:rsid w:val="008A608F"/>
    <w:rsid w:val="008B10D7"/>
    <w:rsid w:val="008B125A"/>
    <w:rsid w:val="008B1C7E"/>
    <w:rsid w:val="008B395E"/>
    <w:rsid w:val="008B3F37"/>
    <w:rsid w:val="008B6454"/>
    <w:rsid w:val="008B783A"/>
    <w:rsid w:val="008C0311"/>
    <w:rsid w:val="008C5C49"/>
    <w:rsid w:val="008C7220"/>
    <w:rsid w:val="008C72B5"/>
    <w:rsid w:val="008D1401"/>
    <w:rsid w:val="008D433D"/>
    <w:rsid w:val="008D6E73"/>
    <w:rsid w:val="008D7239"/>
    <w:rsid w:val="008E323D"/>
    <w:rsid w:val="008E52D6"/>
    <w:rsid w:val="008E6BE0"/>
    <w:rsid w:val="008E7568"/>
    <w:rsid w:val="008F01FF"/>
    <w:rsid w:val="008F119C"/>
    <w:rsid w:val="008F301B"/>
    <w:rsid w:val="008F6A9C"/>
    <w:rsid w:val="00900170"/>
    <w:rsid w:val="00900382"/>
    <w:rsid w:val="009014A9"/>
    <w:rsid w:val="00904405"/>
    <w:rsid w:val="009070C7"/>
    <w:rsid w:val="0091057C"/>
    <w:rsid w:val="00912802"/>
    <w:rsid w:val="0091280E"/>
    <w:rsid w:val="00912954"/>
    <w:rsid w:val="00916D35"/>
    <w:rsid w:val="009174CC"/>
    <w:rsid w:val="00920819"/>
    <w:rsid w:val="0092494B"/>
    <w:rsid w:val="009256C7"/>
    <w:rsid w:val="009308D3"/>
    <w:rsid w:val="00931209"/>
    <w:rsid w:val="009313B2"/>
    <w:rsid w:val="00933EF6"/>
    <w:rsid w:val="00935F52"/>
    <w:rsid w:val="00936799"/>
    <w:rsid w:val="00936BCC"/>
    <w:rsid w:val="009372CC"/>
    <w:rsid w:val="0093772F"/>
    <w:rsid w:val="00937941"/>
    <w:rsid w:val="00942444"/>
    <w:rsid w:val="00942479"/>
    <w:rsid w:val="00947670"/>
    <w:rsid w:val="00950AFC"/>
    <w:rsid w:val="00954FE7"/>
    <w:rsid w:val="00955136"/>
    <w:rsid w:val="009551C1"/>
    <w:rsid w:val="0095596D"/>
    <w:rsid w:val="009577A0"/>
    <w:rsid w:val="00961086"/>
    <w:rsid w:val="009645CA"/>
    <w:rsid w:val="00965D2C"/>
    <w:rsid w:val="00967520"/>
    <w:rsid w:val="00970B72"/>
    <w:rsid w:val="009714C4"/>
    <w:rsid w:val="00974187"/>
    <w:rsid w:val="009815B4"/>
    <w:rsid w:val="009848B1"/>
    <w:rsid w:val="00986B3C"/>
    <w:rsid w:val="00990E15"/>
    <w:rsid w:val="00991D62"/>
    <w:rsid w:val="00992240"/>
    <w:rsid w:val="00994912"/>
    <w:rsid w:val="00995C63"/>
    <w:rsid w:val="00996BAE"/>
    <w:rsid w:val="00997713"/>
    <w:rsid w:val="009A074B"/>
    <w:rsid w:val="009A2138"/>
    <w:rsid w:val="009A4290"/>
    <w:rsid w:val="009A499C"/>
    <w:rsid w:val="009A4FD0"/>
    <w:rsid w:val="009A5595"/>
    <w:rsid w:val="009B0BCD"/>
    <w:rsid w:val="009B14AE"/>
    <w:rsid w:val="009B1EC7"/>
    <w:rsid w:val="009B3FFD"/>
    <w:rsid w:val="009B4F4F"/>
    <w:rsid w:val="009B5F6F"/>
    <w:rsid w:val="009B68CA"/>
    <w:rsid w:val="009B711E"/>
    <w:rsid w:val="009B71AA"/>
    <w:rsid w:val="009C2311"/>
    <w:rsid w:val="009C2BC7"/>
    <w:rsid w:val="009C46F5"/>
    <w:rsid w:val="009D0EEC"/>
    <w:rsid w:val="009D2041"/>
    <w:rsid w:val="009D2A66"/>
    <w:rsid w:val="009D3014"/>
    <w:rsid w:val="009D6C44"/>
    <w:rsid w:val="009E5609"/>
    <w:rsid w:val="009E5DD3"/>
    <w:rsid w:val="009F0B2C"/>
    <w:rsid w:val="009F26EA"/>
    <w:rsid w:val="009F2ADC"/>
    <w:rsid w:val="009F381C"/>
    <w:rsid w:val="009F6C84"/>
    <w:rsid w:val="009F6EA3"/>
    <w:rsid w:val="00A0069F"/>
    <w:rsid w:val="00A01F1F"/>
    <w:rsid w:val="00A0520C"/>
    <w:rsid w:val="00A05627"/>
    <w:rsid w:val="00A06E51"/>
    <w:rsid w:val="00A0742F"/>
    <w:rsid w:val="00A10DE0"/>
    <w:rsid w:val="00A12021"/>
    <w:rsid w:val="00A148B7"/>
    <w:rsid w:val="00A15307"/>
    <w:rsid w:val="00A17B23"/>
    <w:rsid w:val="00A21424"/>
    <w:rsid w:val="00A21757"/>
    <w:rsid w:val="00A21DE2"/>
    <w:rsid w:val="00A223EA"/>
    <w:rsid w:val="00A27F9C"/>
    <w:rsid w:val="00A30147"/>
    <w:rsid w:val="00A301B9"/>
    <w:rsid w:val="00A42F81"/>
    <w:rsid w:val="00A43D83"/>
    <w:rsid w:val="00A44E25"/>
    <w:rsid w:val="00A44ECA"/>
    <w:rsid w:val="00A46020"/>
    <w:rsid w:val="00A4765C"/>
    <w:rsid w:val="00A533CE"/>
    <w:rsid w:val="00A53742"/>
    <w:rsid w:val="00A542EC"/>
    <w:rsid w:val="00A54939"/>
    <w:rsid w:val="00A549A6"/>
    <w:rsid w:val="00A617B2"/>
    <w:rsid w:val="00A61D02"/>
    <w:rsid w:val="00A65C6E"/>
    <w:rsid w:val="00A70BDA"/>
    <w:rsid w:val="00A73016"/>
    <w:rsid w:val="00A7398E"/>
    <w:rsid w:val="00A76B10"/>
    <w:rsid w:val="00A771AC"/>
    <w:rsid w:val="00A779EE"/>
    <w:rsid w:val="00A8202C"/>
    <w:rsid w:val="00A87271"/>
    <w:rsid w:val="00A911E6"/>
    <w:rsid w:val="00A9201B"/>
    <w:rsid w:val="00A93D48"/>
    <w:rsid w:val="00A943FB"/>
    <w:rsid w:val="00A969F8"/>
    <w:rsid w:val="00A96EA6"/>
    <w:rsid w:val="00A9765B"/>
    <w:rsid w:val="00A97A0F"/>
    <w:rsid w:val="00AA0819"/>
    <w:rsid w:val="00AA1F68"/>
    <w:rsid w:val="00AA3174"/>
    <w:rsid w:val="00AA4B1C"/>
    <w:rsid w:val="00AA5417"/>
    <w:rsid w:val="00AA6AF8"/>
    <w:rsid w:val="00AA6C8D"/>
    <w:rsid w:val="00AA6DFF"/>
    <w:rsid w:val="00AB4B25"/>
    <w:rsid w:val="00AB4D00"/>
    <w:rsid w:val="00AB521D"/>
    <w:rsid w:val="00AB63CB"/>
    <w:rsid w:val="00AB6F68"/>
    <w:rsid w:val="00AB709E"/>
    <w:rsid w:val="00AB7516"/>
    <w:rsid w:val="00AC075A"/>
    <w:rsid w:val="00AC12C1"/>
    <w:rsid w:val="00AC3568"/>
    <w:rsid w:val="00AC5BFD"/>
    <w:rsid w:val="00AD1886"/>
    <w:rsid w:val="00AD2A14"/>
    <w:rsid w:val="00AD3B88"/>
    <w:rsid w:val="00AD3C51"/>
    <w:rsid w:val="00AD4386"/>
    <w:rsid w:val="00AD610A"/>
    <w:rsid w:val="00AD7568"/>
    <w:rsid w:val="00AD7DFA"/>
    <w:rsid w:val="00AE0C7D"/>
    <w:rsid w:val="00AE26C9"/>
    <w:rsid w:val="00AE2CAB"/>
    <w:rsid w:val="00AE4D11"/>
    <w:rsid w:val="00AE5564"/>
    <w:rsid w:val="00AE5A60"/>
    <w:rsid w:val="00AE67AD"/>
    <w:rsid w:val="00AF11A8"/>
    <w:rsid w:val="00AF159A"/>
    <w:rsid w:val="00AF19BA"/>
    <w:rsid w:val="00AF27FE"/>
    <w:rsid w:val="00AF4BF3"/>
    <w:rsid w:val="00AF5152"/>
    <w:rsid w:val="00AF58ED"/>
    <w:rsid w:val="00AF7A3C"/>
    <w:rsid w:val="00B00BFF"/>
    <w:rsid w:val="00B00EEB"/>
    <w:rsid w:val="00B012EA"/>
    <w:rsid w:val="00B01545"/>
    <w:rsid w:val="00B03DAA"/>
    <w:rsid w:val="00B132C6"/>
    <w:rsid w:val="00B13570"/>
    <w:rsid w:val="00B14CAB"/>
    <w:rsid w:val="00B16D88"/>
    <w:rsid w:val="00B17DEB"/>
    <w:rsid w:val="00B26291"/>
    <w:rsid w:val="00B26667"/>
    <w:rsid w:val="00B320CB"/>
    <w:rsid w:val="00B33DD6"/>
    <w:rsid w:val="00B360E0"/>
    <w:rsid w:val="00B36650"/>
    <w:rsid w:val="00B42942"/>
    <w:rsid w:val="00B501AA"/>
    <w:rsid w:val="00B5074F"/>
    <w:rsid w:val="00B529A3"/>
    <w:rsid w:val="00B5398E"/>
    <w:rsid w:val="00B54B7F"/>
    <w:rsid w:val="00B54DE0"/>
    <w:rsid w:val="00B63F8C"/>
    <w:rsid w:val="00B64512"/>
    <w:rsid w:val="00B64BA1"/>
    <w:rsid w:val="00B65FCB"/>
    <w:rsid w:val="00B70CC6"/>
    <w:rsid w:val="00B722BE"/>
    <w:rsid w:val="00B748C3"/>
    <w:rsid w:val="00B775AF"/>
    <w:rsid w:val="00B808EE"/>
    <w:rsid w:val="00B82667"/>
    <w:rsid w:val="00B83687"/>
    <w:rsid w:val="00B8433D"/>
    <w:rsid w:val="00B85457"/>
    <w:rsid w:val="00B86FEA"/>
    <w:rsid w:val="00B875BA"/>
    <w:rsid w:val="00B879C3"/>
    <w:rsid w:val="00B91B7E"/>
    <w:rsid w:val="00B943FE"/>
    <w:rsid w:val="00B94592"/>
    <w:rsid w:val="00B973E5"/>
    <w:rsid w:val="00B9762F"/>
    <w:rsid w:val="00BA136B"/>
    <w:rsid w:val="00BA228B"/>
    <w:rsid w:val="00BA3523"/>
    <w:rsid w:val="00BA4028"/>
    <w:rsid w:val="00BA6B92"/>
    <w:rsid w:val="00BA71D5"/>
    <w:rsid w:val="00BA7320"/>
    <w:rsid w:val="00BB1F19"/>
    <w:rsid w:val="00BB3730"/>
    <w:rsid w:val="00BB3D67"/>
    <w:rsid w:val="00BB3F40"/>
    <w:rsid w:val="00BB7212"/>
    <w:rsid w:val="00BC49B0"/>
    <w:rsid w:val="00BC78EB"/>
    <w:rsid w:val="00BD2527"/>
    <w:rsid w:val="00BD2A4E"/>
    <w:rsid w:val="00BD3D30"/>
    <w:rsid w:val="00BD5187"/>
    <w:rsid w:val="00BD5774"/>
    <w:rsid w:val="00BD5A6B"/>
    <w:rsid w:val="00BD69FA"/>
    <w:rsid w:val="00BD7E5D"/>
    <w:rsid w:val="00BE1093"/>
    <w:rsid w:val="00BE1CBA"/>
    <w:rsid w:val="00BE2A10"/>
    <w:rsid w:val="00BE4B2D"/>
    <w:rsid w:val="00BE4E00"/>
    <w:rsid w:val="00BE51A4"/>
    <w:rsid w:val="00BE592C"/>
    <w:rsid w:val="00BE5EB9"/>
    <w:rsid w:val="00BE6EB3"/>
    <w:rsid w:val="00BE7B75"/>
    <w:rsid w:val="00BF2C1B"/>
    <w:rsid w:val="00BF4844"/>
    <w:rsid w:val="00C02288"/>
    <w:rsid w:val="00C04591"/>
    <w:rsid w:val="00C04EAB"/>
    <w:rsid w:val="00C05397"/>
    <w:rsid w:val="00C0613A"/>
    <w:rsid w:val="00C06DE1"/>
    <w:rsid w:val="00C07152"/>
    <w:rsid w:val="00C11C29"/>
    <w:rsid w:val="00C153A0"/>
    <w:rsid w:val="00C22682"/>
    <w:rsid w:val="00C23440"/>
    <w:rsid w:val="00C257B4"/>
    <w:rsid w:val="00C261D0"/>
    <w:rsid w:val="00C34DC6"/>
    <w:rsid w:val="00C34F38"/>
    <w:rsid w:val="00C3533D"/>
    <w:rsid w:val="00C429EF"/>
    <w:rsid w:val="00C42BAC"/>
    <w:rsid w:val="00C43FA7"/>
    <w:rsid w:val="00C46855"/>
    <w:rsid w:val="00C47E35"/>
    <w:rsid w:val="00C553B3"/>
    <w:rsid w:val="00C64F14"/>
    <w:rsid w:val="00C66041"/>
    <w:rsid w:val="00C766D5"/>
    <w:rsid w:val="00C77035"/>
    <w:rsid w:val="00C77B4A"/>
    <w:rsid w:val="00C82E36"/>
    <w:rsid w:val="00C84E9A"/>
    <w:rsid w:val="00C861BE"/>
    <w:rsid w:val="00C86840"/>
    <w:rsid w:val="00C9229D"/>
    <w:rsid w:val="00C93266"/>
    <w:rsid w:val="00C94EA9"/>
    <w:rsid w:val="00C958F0"/>
    <w:rsid w:val="00CA0D9A"/>
    <w:rsid w:val="00CA38B1"/>
    <w:rsid w:val="00CA5408"/>
    <w:rsid w:val="00CA6363"/>
    <w:rsid w:val="00CA6762"/>
    <w:rsid w:val="00CA688A"/>
    <w:rsid w:val="00CB2ABF"/>
    <w:rsid w:val="00CB5717"/>
    <w:rsid w:val="00CB78D6"/>
    <w:rsid w:val="00CC1CCC"/>
    <w:rsid w:val="00CC28D0"/>
    <w:rsid w:val="00CC4B0F"/>
    <w:rsid w:val="00CC5AD5"/>
    <w:rsid w:val="00CD0E2C"/>
    <w:rsid w:val="00CD1CBF"/>
    <w:rsid w:val="00CD1FFF"/>
    <w:rsid w:val="00CD4267"/>
    <w:rsid w:val="00CD505A"/>
    <w:rsid w:val="00CE0F48"/>
    <w:rsid w:val="00CE7253"/>
    <w:rsid w:val="00CF040D"/>
    <w:rsid w:val="00CF2727"/>
    <w:rsid w:val="00CF2E35"/>
    <w:rsid w:val="00CF4CF8"/>
    <w:rsid w:val="00CF5529"/>
    <w:rsid w:val="00CF5FBD"/>
    <w:rsid w:val="00CF6FC7"/>
    <w:rsid w:val="00D01ED1"/>
    <w:rsid w:val="00D02C30"/>
    <w:rsid w:val="00D040DD"/>
    <w:rsid w:val="00D053F8"/>
    <w:rsid w:val="00D05844"/>
    <w:rsid w:val="00D1226C"/>
    <w:rsid w:val="00D12410"/>
    <w:rsid w:val="00D126CB"/>
    <w:rsid w:val="00D12B6B"/>
    <w:rsid w:val="00D1401D"/>
    <w:rsid w:val="00D1489D"/>
    <w:rsid w:val="00D15A95"/>
    <w:rsid w:val="00D16145"/>
    <w:rsid w:val="00D2073E"/>
    <w:rsid w:val="00D24001"/>
    <w:rsid w:val="00D314C6"/>
    <w:rsid w:val="00D362E0"/>
    <w:rsid w:val="00D424D1"/>
    <w:rsid w:val="00D429E8"/>
    <w:rsid w:val="00D42E20"/>
    <w:rsid w:val="00D43370"/>
    <w:rsid w:val="00D46BD1"/>
    <w:rsid w:val="00D4776B"/>
    <w:rsid w:val="00D50C99"/>
    <w:rsid w:val="00D511DE"/>
    <w:rsid w:val="00D522BA"/>
    <w:rsid w:val="00D56A7D"/>
    <w:rsid w:val="00D574C2"/>
    <w:rsid w:val="00D608BC"/>
    <w:rsid w:val="00D62944"/>
    <w:rsid w:val="00D63E21"/>
    <w:rsid w:val="00D64727"/>
    <w:rsid w:val="00D66587"/>
    <w:rsid w:val="00D66874"/>
    <w:rsid w:val="00D70BD9"/>
    <w:rsid w:val="00D715D0"/>
    <w:rsid w:val="00D7454E"/>
    <w:rsid w:val="00D74B36"/>
    <w:rsid w:val="00D75364"/>
    <w:rsid w:val="00D8041B"/>
    <w:rsid w:val="00D824C0"/>
    <w:rsid w:val="00D84112"/>
    <w:rsid w:val="00D84271"/>
    <w:rsid w:val="00D84919"/>
    <w:rsid w:val="00D84E5A"/>
    <w:rsid w:val="00D87037"/>
    <w:rsid w:val="00D919F8"/>
    <w:rsid w:val="00D91D24"/>
    <w:rsid w:val="00D92634"/>
    <w:rsid w:val="00D93A8F"/>
    <w:rsid w:val="00D94F31"/>
    <w:rsid w:val="00D95064"/>
    <w:rsid w:val="00D95193"/>
    <w:rsid w:val="00DA108A"/>
    <w:rsid w:val="00DA12BF"/>
    <w:rsid w:val="00DA260D"/>
    <w:rsid w:val="00DA279C"/>
    <w:rsid w:val="00DA653B"/>
    <w:rsid w:val="00DB2570"/>
    <w:rsid w:val="00DB25C7"/>
    <w:rsid w:val="00DB2D87"/>
    <w:rsid w:val="00DB3023"/>
    <w:rsid w:val="00DB3653"/>
    <w:rsid w:val="00DB4B13"/>
    <w:rsid w:val="00DB61F3"/>
    <w:rsid w:val="00DB6CB8"/>
    <w:rsid w:val="00DB6D98"/>
    <w:rsid w:val="00DB70B6"/>
    <w:rsid w:val="00DB786E"/>
    <w:rsid w:val="00DC2195"/>
    <w:rsid w:val="00DC233A"/>
    <w:rsid w:val="00DC4F66"/>
    <w:rsid w:val="00DC7474"/>
    <w:rsid w:val="00DD13DF"/>
    <w:rsid w:val="00DD1FF9"/>
    <w:rsid w:val="00DD4942"/>
    <w:rsid w:val="00DD5405"/>
    <w:rsid w:val="00DD5769"/>
    <w:rsid w:val="00DD6450"/>
    <w:rsid w:val="00DE122C"/>
    <w:rsid w:val="00DE3E1F"/>
    <w:rsid w:val="00DE6102"/>
    <w:rsid w:val="00DF06B9"/>
    <w:rsid w:val="00DF23FD"/>
    <w:rsid w:val="00DF38CC"/>
    <w:rsid w:val="00E02413"/>
    <w:rsid w:val="00E05E0B"/>
    <w:rsid w:val="00E0775F"/>
    <w:rsid w:val="00E104B4"/>
    <w:rsid w:val="00E16835"/>
    <w:rsid w:val="00E1695E"/>
    <w:rsid w:val="00E204C0"/>
    <w:rsid w:val="00E248D1"/>
    <w:rsid w:val="00E24F39"/>
    <w:rsid w:val="00E2587F"/>
    <w:rsid w:val="00E25C35"/>
    <w:rsid w:val="00E27F4B"/>
    <w:rsid w:val="00E30661"/>
    <w:rsid w:val="00E31BDE"/>
    <w:rsid w:val="00E342FE"/>
    <w:rsid w:val="00E354A3"/>
    <w:rsid w:val="00E35651"/>
    <w:rsid w:val="00E41C7E"/>
    <w:rsid w:val="00E41C93"/>
    <w:rsid w:val="00E4338E"/>
    <w:rsid w:val="00E5014E"/>
    <w:rsid w:val="00E50DC6"/>
    <w:rsid w:val="00E51ED8"/>
    <w:rsid w:val="00E53374"/>
    <w:rsid w:val="00E55D83"/>
    <w:rsid w:val="00E56187"/>
    <w:rsid w:val="00E566F1"/>
    <w:rsid w:val="00E578B8"/>
    <w:rsid w:val="00E60180"/>
    <w:rsid w:val="00E61697"/>
    <w:rsid w:val="00E7249B"/>
    <w:rsid w:val="00E73068"/>
    <w:rsid w:val="00E7341C"/>
    <w:rsid w:val="00E735BB"/>
    <w:rsid w:val="00E74AFF"/>
    <w:rsid w:val="00E761CF"/>
    <w:rsid w:val="00E8270B"/>
    <w:rsid w:val="00E832F8"/>
    <w:rsid w:val="00E83FD2"/>
    <w:rsid w:val="00E84562"/>
    <w:rsid w:val="00E86352"/>
    <w:rsid w:val="00E879F0"/>
    <w:rsid w:val="00E90AF3"/>
    <w:rsid w:val="00E92E5C"/>
    <w:rsid w:val="00EA1334"/>
    <w:rsid w:val="00EA3EF6"/>
    <w:rsid w:val="00EA570C"/>
    <w:rsid w:val="00EA6848"/>
    <w:rsid w:val="00EA6F91"/>
    <w:rsid w:val="00EB0FE4"/>
    <w:rsid w:val="00EB1400"/>
    <w:rsid w:val="00EB1E4E"/>
    <w:rsid w:val="00EB26C7"/>
    <w:rsid w:val="00EB29DC"/>
    <w:rsid w:val="00EB31D4"/>
    <w:rsid w:val="00EB4979"/>
    <w:rsid w:val="00EB4D7F"/>
    <w:rsid w:val="00EB63AD"/>
    <w:rsid w:val="00EC1409"/>
    <w:rsid w:val="00EC163D"/>
    <w:rsid w:val="00EC3923"/>
    <w:rsid w:val="00EC3ABE"/>
    <w:rsid w:val="00EC62FD"/>
    <w:rsid w:val="00EC6670"/>
    <w:rsid w:val="00ED1D98"/>
    <w:rsid w:val="00ED2152"/>
    <w:rsid w:val="00ED3B42"/>
    <w:rsid w:val="00ED7A9C"/>
    <w:rsid w:val="00EE37BB"/>
    <w:rsid w:val="00EE4819"/>
    <w:rsid w:val="00EE48F1"/>
    <w:rsid w:val="00EE4DD6"/>
    <w:rsid w:val="00EE6661"/>
    <w:rsid w:val="00EE6C3F"/>
    <w:rsid w:val="00EE6D3A"/>
    <w:rsid w:val="00EF120F"/>
    <w:rsid w:val="00EF182F"/>
    <w:rsid w:val="00EF18CC"/>
    <w:rsid w:val="00EF27D2"/>
    <w:rsid w:val="00EF3108"/>
    <w:rsid w:val="00EF337F"/>
    <w:rsid w:val="00EF4345"/>
    <w:rsid w:val="00EF4C48"/>
    <w:rsid w:val="00EF592E"/>
    <w:rsid w:val="00F0143B"/>
    <w:rsid w:val="00F02FD9"/>
    <w:rsid w:val="00F05009"/>
    <w:rsid w:val="00F06E16"/>
    <w:rsid w:val="00F10959"/>
    <w:rsid w:val="00F1112F"/>
    <w:rsid w:val="00F1411B"/>
    <w:rsid w:val="00F1442C"/>
    <w:rsid w:val="00F15629"/>
    <w:rsid w:val="00F17DF7"/>
    <w:rsid w:val="00F20B72"/>
    <w:rsid w:val="00F24DE1"/>
    <w:rsid w:val="00F25A2C"/>
    <w:rsid w:val="00F276EA"/>
    <w:rsid w:val="00F326E9"/>
    <w:rsid w:val="00F336BC"/>
    <w:rsid w:val="00F34BED"/>
    <w:rsid w:val="00F34D69"/>
    <w:rsid w:val="00F366D3"/>
    <w:rsid w:val="00F415F6"/>
    <w:rsid w:val="00F419FB"/>
    <w:rsid w:val="00F433EB"/>
    <w:rsid w:val="00F45C6C"/>
    <w:rsid w:val="00F47DAE"/>
    <w:rsid w:val="00F53000"/>
    <w:rsid w:val="00F53A09"/>
    <w:rsid w:val="00F54089"/>
    <w:rsid w:val="00F54541"/>
    <w:rsid w:val="00F57836"/>
    <w:rsid w:val="00F60CC9"/>
    <w:rsid w:val="00F61B06"/>
    <w:rsid w:val="00F63725"/>
    <w:rsid w:val="00F63B27"/>
    <w:rsid w:val="00F64158"/>
    <w:rsid w:val="00F6494A"/>
    <w:rsid w:val="00F67783"/>
    <w:rsid w:val="00F70321"/>
    <w:rsid w:val="00F72C54"/>
    <w:rsid w:val="00F76CE6"/>
    <w:rsid w:val="00F77237"/>
    <w:rsid w:val="00F774C0"/>
    <w:rsid w:val="00F82A77"/>
    <w:rsid w:val="00F830E2"/>
    <w:rsid w:val="00F8576D"/>
    <w:rsid w:val="00F85E25"/>
    <w:rsid w:val="00F95934"/>
    <w:rsid w:val="00F95A3C"/>
    <w:rsid w:val="00F95A75"/>
    <w:rsid w:val="00F96775"/>
    <w:rsid w:val="00FA29D9"/>
    <w:rsid w:val="00FA2FA5"/>
    <w:rsid w:val="00FA3773"/>
    <w:rsid w:val="00FA61C9"/>
    <w:rsid w:val="00FA6DED"/>
    <w:rsid w:val="00FB005C"/>
    <w:rsid w:val="00FB0345"/>
    <w:rsid w:val="00FB087E"/>
    <w:rsid w:val="00FB7CE6"/>
    <w:rsid w:val="00FC0562"/>
    <w:rsid w:val="00FC1E2D"/>
    <w:rsid w:val="00FC229E"/>
    <w:rsid w:val="00FC46FB"/>
    <w:rsid w:val="00FC6E73"/>
    <w:rsid w:val="00FD04FC"/>
    <w:rsid w:val="00FD1FBE"/>
    <w:rsid w:val="00FD2C00"/>
    <w:rsid w:val="00FD6B43"/>
    <w:rsid w:val="00FD7A0E"/>
    <w:rsid w:val="00FE0D74"/>
    <w:rsid w:val="00FE1B4F"/>
    <w:rsid w:val="00FE2A0A"/>
    <w:rsid w:val="00FE307B"/>
    <w:rsid w:val="00FE35B4"/>
    <w:rsid w:val="00FE3EF6"/>
    <w:rsid w:val="00FF3AF4"/>
    <w:rsid w:val="00FF48CE"/>
    <w:rsid w:val="00FF53A9"/>
    <w:rsid w:val="00FF5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A8A39"/>
  <w15:docId w15:val="{148FA670-5B14-451D-8C8B-B73797837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6E2"/>
  </w:style>
  <w:style w:type="paragraph" w:styleId="Heading1">
    <w:name w:val="heading 1"/>
    <w:basedOn w:val="Normal"/>
    <w:next w:val="Normal"/>
    <w:link w:val="Heading1Char"/>
    <w:qFormat/>
    <w:rsid w:val="009A4290"/>
    <w:pPr>
      <w:keepNext/>
      <w:spacing w:after="280"/>
      <w:jc w:val="both"/>
      <w:outlineLvl w:val="0"/>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F23FD"/>
    <w:rPr>
      <w:i/>
      <w:iCs/>
    </w:rPr>
  </w:style>
  <w:style w:type="character" w:styleId="Hyperlink">
    <w:name w:val="Hyperlink"/>
    <w:basedOn w:val="DefaultParagraphFont"/>
    <w:uiPriority w:val="99"/>
    <w:unhideWhenUsed/>
    <w:rsid w:val="00DF23FD"/>
    <w:rPr>
      <w:color w:val="0000FF"/>
      <w:u w:val="single"/>
    </w:rPr>
  </w:style>
  <w:style w:type="character" w:styleId="Strong">
    <w:name w:val="Strong"/>
    <w:basedOn w:val="DefaultParagraphFont"/>
    <w:uiPriority w:val="22"/>
    <w:qFormat/>
    <w:rsid w:val="00DF23FD"/>
    <w:rPr>
      <w:b/>
      <w:bCs/>
    </w:rPr>
  </w:style>
  <w:style w:type="paragraph" w:styleId="ListParagraph">
    <w:name w:val="List Paragraph"/>
    <w:basedOn w:val="Normal"/>
    <w:uiPriority w:val="34"/>
    <w:qFormat/>
    <w:rsid w:val="00DF23FD"/>
    <w:pPr>
      <w:ind w:left="720"/>
      <w:contextualSpacing/>
    </w:pPr>
  </w:style>
  <w:style w:type="table" w:styleId="TableGrid">
    <w:name w:val="Table Grid"/>
    <w:basedOn w:val="TableNormal"/>
    <w:uiPriority w:val="59"/>
    <w:rsid w:val="00DF23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5C63"/>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rsid w:val="009A4290"/>
    <w:rPr>
      <w:b/>
      <w:sz w:val="28"/>
    </w:rPr>
  </w:style>
  <w:style w:type="character" w:styleId="FollowedHyperlink">
    <w:name w:val="FollowedHyperlink"/>
    <w:basedOn w:val="DefaultParagraphFont"/>
    <w:uiPriority w:val="99"/>
    <w:semiHidden/>
    <w:unhideWhenUsed/>
    <w:rsid w:val="00CD4267"/>
    <w:rPr>
      <w:color w:val="800080" w:themeColor="followedHyperlink"/>
      <w:u w:val="single"/>
    </w:rPr>
  </w:style>
  <w:style w:type="paragraph" w:styleId="PlainText">
    <w:name w:val="Plain Text"/>
    <w:basedOn w:val="Normal"/>
    <w:link w:val="PlainTextChar"/>
    <w:uiPriority w:val="99"/>
    <w:semiHidden/>
    <w:unhideWhenUsed/>
    <w:rsid w:val="004F1215"/>
    <w:pPr>
      <w:spacing w:after="0" w:line="240" w:lineRule="auto"/>
    </w:pPr>
    <w:rPr>
      <w:rFonts w:ascii="Calibri" w:hAnsi="Calibri" w:cs="Calibri"/>
    </w:rPr>
  </w:style>
  <w:style w:type="character" w:customStyle="1" w:styleId="PlainTextChar">
    <w:name w:val="Plain Text Char"/>
    <w:basedOn w:val="DefaultParagraphFont"/>
    <w:link w:val="PlainText"/>
    <w:uiPriority w:val="99"/>
    <w:semiHidden/>
    <w:rsid w:val="004F1215"/>
    <w:rPr>
      <w:rFonts w:ascii="Calibri" w:hAnsi="Calibri" w:cs="Calibri"/>
    </w:rPr>
  </w:style>
  <w:style w:type="paragraph" w:styleId="Header">
    <w:name w:val="header"/>
    <w:basedOn w:val="Normal"/>
    <w:link w:val="HeaderChar"/>
    <w:unhideWhenUsed/>
    <w:rsid w:val="00F8576D"/>
    <w:pPr>
      <w:tabs>
        <w:tab w:val="center" w:pos="4680"/>
        <w:tab w:val="right" w:pos="9360"/>
      </w:tabs>
      <w:spacing w:after="0" w:line="240" w:lineRule="auto"/>
    </w:pPr>
  </w:style>
  <w:style w:type="character" w:customStyle="1" w:styleId="HeaderChar">
    <w:name w:val="Header Char"/>
    <w:basedOn w:val="DefaultParagraphFont"/>
    <w:link w:val="Header"/>
    <w:rsid w:val="00F8576D"/>
  </w:style>
  <w:style w:type="paragraph" w:styleId="Footer">
    <w:name w:val="footer"/>
    <w:basedOn w:val="Normal"/>
    <w:link w:val="FooterChar"/>
    <w:unhideWhenUsed/>
    <w:rsid w:val="00F857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76D"/>
  </w:style>
  <w:style w:type="character" w:styleId="PageNumber">
    <w:name w:val="page number"/>
    <w:basedOn w:val="DefaultParagraphFont"/>
    <w:rsid w:val="00EF120F"/>
  </w:style>
  <w:style w:type="paragraph" w:styleId="BodyText2">
    <w:name w:val="Body Text 2"/>
    <w:basedOn w:val="Normal"/>
    <w:link w:val="BodyText2Char"/>
    <w:rsid w:val="00931209"/>
    <w:pPr>
      <w:spacing w:after="0" w:line="240" w:lineRule="auto"/>
      <w:jc w:val="both"/>
    </w:pPr>
    <w:rPr>
      <w:rFonts w:ascii="Times New Roman" w:eastAsia="Times New Roman" w:hAnsi="Times New Roman" w:cs="Times New Roman"/>
      <w:b/>
      <w:bCs/>
      <w:szCs w:val="20"/>
    </w:rPr>
  </w:style>
  <w:style w:type="character" w:customStyle="1" w:styleId="BodyText2Char">
    <w:name w:val="Body Text 2 Char"/>
    <w:basedOn w:val="DefaultParagraphFont"/>
    <w:link w:val="BodyText2"/>
    <w:rsid w:val="00931209"/>
    <w:rPr>
      <w:rFonts w:ascii="Times New Roman" w:eastAsia="Times New Roman" w:hAnsi="Times New Roman" w:cs="Times New Roman"/>
      <w:b/>
      <w:bCs/>
      <w:szCs w:val="20"/>
    </w:rPr>
  </w:style>
  <w:style w:type="character" w:styleId="CommentReference">
    <w:name w:val="annotation reference"/>
    <w:basedOn w:val="DefaultParagraphFont"/>
    <w:uiPriority w:val="99"/>
    <w:semiHidden/>
    <w:unhideWhenUsed/>
    <w:rsid w:val="001F1681"/>
    <w:rPr>
      <w:sz w:val="16"/>
      <w:szCs w:val="16"/>
    </w:rPr>
  </w:style>
  <w:style w:type="paragraph" w:styleId="CommentText">
    <w:name w:val="annotation text"/>
    <w:basedOn w:val="Normal"/>
    <w:link w:val="CommentTextChar"/>
    <w:uiPriority w:val="99"/>
    <w:semiHidden/>
    <w:unhideWhenUsed/>
    <w:rsid w:val="001F1681"/>
    <w:pPr>
      <w:spacing w:line="240" w:lineRule="auto"/>
    </w:pPr>
    <w:rPr>
      <w:sz w:val="20"/>
      <w:szCs w:val="20"/>
    </w:rPr>
  </w:style>
  <w:style w:type="character" w:customStyle="1" w:styleId="CommentTextChar">
    <w:name w:val="Comment Text Char"/>
    <w:basedOn w:val="DefaultParagraphFont"/>
    <w:link w:val="CommentText"/>
    <w:uiPriority w:val="99"/>
    <w:semiHidden/>
    <w:rsid w:val="001F1681"/>
    <w:rPr>
      <w:sz w:val="20"/>
      <w:szCs w:val="20"/>
    </w:rPr>
  </w:style>
  <w:style w:type="paragraph" w:styleId="CommentSubject">
    <w:name w:val="annotation subject"/>
    <w:basedOn w:val="CommentText"/>
    <w:next w:val="CommentText"/>
    <w:link w:val="CommentSubjectChar"/>
    <w:uiPriority w:val="99"/>
    <w:semiHidden/>
    <w:unhideWhenUsed/>
    <w:rsid w:val="001F1681"/>
    <w:rPr>
      <w:b/>
      <w:bCs/>
    </w:rPr>
  </w:style>
  <w:style w:type="character" w:customStyle="1" w:styleId="CommentSubjectChar">
    <w:name w:val="Comment Subject Char"/>
    <w:basedOn w:val="CommentTextChar"/>
    <w:link w:val="CommentSubject"/>
    <w:uiPriority w:val="99"/>
    <w:semiHidden/>
    <w:rsid w:val="001F1681"/>
    <w:rPr>
      <w:b/>
      <w:bCs/>
      <w:sz w:val="20"/>
      <w:szCs w:val="20"/>
    </w:rPr>
  </w:style>
  <w:style w:type="paragraph" w:styleId="Revision">
    <w:name w:val="Revision"/>
    <w:hidden/>
    <w:uiPriority w:val="99"/>
    <w:semiHidden/>
    <w:rsid w:val="001F1681"/>
    <w:pPr>
      <w:spacing w:after="0" w:line="240" w:lineRule="auto"/>
    </w:pPr>
  </w:style>
  <w:style w:type="paragraph" w:styleId="BalloonText">
    <w:name w:val="Balloon Text"/>
    <w:basedOn w:val="Normal"/>
    <w:link w:val="BalloonTextChar"/>
    <w:uiPriority w:val="99"/>
    <w:semiHidden/>
    <w:unhideWhenUsed/>
    <w:rsid w:val="001F16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1681"/>
    <w:rPr>
      <w:rFonts w:ascii="Tahoma" w:hAnsi="Tahoma" w:cs="Tahoma"/>
      <w:sz w:val="16"/>
      <w:szCs w:val="16"/>
    </w:rPr>
  </w:style>
  <w:style w:type="character" w:styleId="UnresolvedMention">
    <w:name w:val="Unresolved Mention"/>
    <w:basedOn w:val="DefaultParagraphFont"/>
    <w:uiPriority w:val="99"/>
    <w:semiHidden/>
    <w:unhideWhenUsed/>
    <w:rsid w:val="009313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448258">
      <w:bodyDiv w:val="1"/>
      <w:marLeft w:val="0"/>
      <w:marRight w:val="0"/>
      <w:marTop w:val="0"/>
      <w:marBottom w:val="0"/>
      <w:divBdr>
        <w:top w:val="none" w:sz="0" w:space="0" w:color="auto"/>
        <w:left w:val="none" w:sz="0" w:space="0" w:color="auto"/>
        <w:bottom w:val="none" w:sz="0" w:space="0" w:color="auto"/>
        <w:right w:val="none" w:sz="0" w:space="0" w:color="auto"/>
      </w:divBdr>
    </w:div>
    <w:div w:id="1077291421">
      <w:bodyDiv w:val="1"/>
      <w:marLeft w:val="0"/>
      <w:marRight w:val="0"/>
      <w:marTop w:val="0"/>
      <w:marBottom w:val="0"/>
      <w:divBdr>
        <w:top w:val="none" w:sz="0" w:space="0" w:color="auto"/>
        <w:left w:val="none" w:sz="0" w:space="0" w:color="auto"/>
        <w:bottom w:val="none" w:sz="0" w:space="0" w:color="auto"/>
        <w:right w:val="none" w:sz="0" w:space="0" w:color="auto"/>
      </w:divBdr>
      <w:divsChild>
        <w:div w:id="300578903">
          <w:marLeft w:val="0"/>
          <w:marRight w:val="0"/>
          <w:marTop w:val="0"/>
          <w:marBottom w:val="0"/>
          <w:divBdr>
            <w:top w:val="none" w:sz="0" w:space="0" w:color="auto"/>
            <w:left w:val="none" w:sz="0" w:space="0" w:color="auto"/>
            <w:bottom w:val="none" w:sz="0" w:space="0" w:color="auto"/>
            <w:right w:val="none" w:sz="0" w:space="0" w:color="auto"/>
          </w:divBdr>
          <w:divsChild>
            <w:div w:id="1786001696">
              <w:marLeft w:val="0"/>
              <w:marRight w:val="0"/>
              <w:marTop w:val="0"/>
              <w:marBottom w:val="0"/>
              <w:divBdr>
                <w:top w:val="none" w:sz="0" w:space="0" w:color="auto"/>
                <w:left w:val="none" w:sz="0" w:space="0" w:color="auto"/>
                <w:bottom w:val="none" w:sz="0" w:space="0" w:color="auto"/>
                <w:right w:val="none" w:sz="0" w:space="0" w:color="auto"/>
              </w:divBdr>
              <w:divsChild>
                <w:div w:id="2029284753">
                  <w:marLeft w:val="0"/>
                  <w:marRight w:val="0"/>
                  <w:marTop w:val="0"/>
                  <w:marBottom w:val="0"/>
                  <w:divBdr>
                    <w:top w:val="none" w:sz="0" w:space="0" w:color="auto"/>
                    <w:left w:val="none" w:sz="0" w:space="0" w:color="auto"/>
                    <w:bottom w:val="none" w:sz="0" w:space="0" w:color="auto"/>
                    <w:right w:val="none" w:sz="0" w:space="0" w:color="auto"/>
                  </w:divBdr>
                  <w:divsChild>
                    <w:div w:id="1377004011">
                      <w:marLeft w:val="675"/>
                      <w:marRight w:val="825"/>
                      <w:marTop w:val="195"/>
                      <w:marBottom w:val="150"/>
                      <w:divBdr>
                        <w:top w:val="none" w:sz="0" w:space="0" w:color="auto"/>
                        <w:left w:val="none" w:sz="0" w:space="0" w:color="auto"/>
                        <w:bottom w:val="none" w:sz="0" w:space="0" w:color="auto"/>
                        <w:right w:val="none" w:sz="0" w:space="0" w:color="auto"/>
                      </w:divBdr>
                    </w:div>
                  </w:divsChild>
                </w:div>
              </w:divsChild>
            </w:div>
          </w:divsChild>
        </w:div>
      </w:divsChild>
    </w:div>
    <w:div w:id="1102535824">
      <w:bodyDiv w:val="1"/>
      <w:marLeft w:val="0"/>
      <w:marRight w:val="0"/>
      <w:marTop w:val="0"/>
      <w:marBottom w:val="0"/>
      <w:divBdr>
        <w:top w:val="none" w:sz="0" w:space="0" w:color="auto"/>
        <w:left w:val="none" w:sz="0" w:space="0" w:color="auto"/>
        <w:bottom w:val="none" w:sz="0" w:space="0" w:color="auto"/>
        <w:right w:val="none" w:sz="0" w:space="0" w:color="auto"/>
      </w:divBdr>
    </w:div>
    <w:div w:id="1372415772">
      <w:bodyDiv w:val="1"/>
      <w:marLeft w:val="0"/>
      <w:marRight w:val="0"/>
      <w:marTop w:val="0"/>
      <w:marBottom w:val="0"/>
      <w:divBdr>
        <w:top w:val="none" w:sz="0" w:space="0" w:color="auto"/>
        <w:left w:val="none" w:sz="0" w:space="0" w:color="auto"/>
        <w:bottom w:val="none" w:sz="0" w:space="0" w:color="auto"/>
        <w:right w:val="none" w:sz="0" w:space="0" w:color="auto"/>
      </w:divBdr>
    </w:div>
    <w:div w:id="1438597084">
      <w:bodyDiv w:val="1"/>
      <w:marLeft w:val="0"/>
      <w:marRight w:val="0"/>
      <w:marTop w:val="0"/>
      <w:marBottom w:val="0"/>
      <w:divBdr>
        <w:top w:val="none" w:sz="0" w:space="0" w:color="auto"/>
        <w:left w:val="none" w:sz="0" w:space="0" w:color="auto"/>
        <w:bottom w:val="none" w:sz="0" w:space="0" w:color="auto"/>
        <w:right w:val="none" w:sz="0" w:space="0" w:color="auto"/>
      </w:divBdr>
    </w:div>
    <w:div w:id="1554344334">
      <w:bodyDiv w:val="1"/>
      <w:marLeft w:val="0"/>
      <w:marRight w:val="0"/>
      <w:marTop w:val="0"/>
      <w:marBottom w:val="0"/>
      <w:divBdr>
        <w:top w:val="none" w:sz="0" w:space="0" w:color="auto"/>
        <w:left w:val="none" w:sz="0" w:space="0" w:color="auto"/>
        <w:bottom w:val="none" w:sz="0" w:space="0" w:color="auto"/>
        <w:right w:val="none" w:sz="0" w:space="0" w:color="auto"/>
      </w:divBdr>
      <w:divsChild>
        <w:div w:id="1712604941">
          <w:marLeft w:val="0"/>
          <w:marRight w:val="0"/>
          <w:marTop w:val="0"/>
          <w:marBottom w:val="0"/>
          <w:divBdr>
            <w:top w:val="none" w:sz="0" w:space="0" w:color="auto"/>
            <w:left w:val="none" w:sz="0" w:space="0" w:color="auto"/>
            <w:bottom w:val="none" w:sz="0" w:space="0" w:color="auto"/>
            <w:right w:val="none" w:sz="0" w:space="0" w:color="auto"/>
          </w:divBdr>
          <w:divsChild>
            <w:div w:id="467363543">
              <w:marLeft w:val="0"/>
              <w:marRight w:val="0"/>
              <w:marTop w:val="0"/>
              <w:marBottom w:val="0"/>
              <w:divBdr>
                <w:top w:val="none" w:sz="0" w:space="0" w:color="auto"/>
                <w:left w:val="none" w:sz="0" w:space="0" w:color="auto"/>
                <w:bottom w:val="none" w:sz="0" w:space="0" w:color="auto"/>
                <w:right w:val="none" w:sz="0" w:space="0" w:color="auto"/>
              </w:divBdr>
              <w:divsChild>
                <w:div w:id="1213494841">
                  <w:marLeft w:val="0"/>
                  <w:marRight w:val="200"/>
                  <w:marTop w:val="0"/>
                  <w:marBottom w:val="0"/>
                  <w:divBdr>
                    <w:top w:val="none" w:sz="0" w:space="0" w:color="auto"/>
                    <w:left w:val="none" w:sz="0" w:space="0" w:color="auto"/>
                    <w:bottom w:val="none" w:sz="0" w:space="0" w:color="auto"/>
                    <w:right w:val="none" w:sz="0" w:space="0" w:color="auto"/>
                  </w:divBdr>
                  <w:divsChild>
                    <w:div w:id="212694213">
                      <w:marLeft w:val="0"/>
                      <w:marRight w:val="0"/>
                      <w:marTop w:val="0"/>
                      <w:marBottom w:val="375"/>
                      <w:divBdr>
                        <w:top w:val="none" w:sz="0" w:space="0" w:color="auto"/>
                        <w:left w:val="none" w:sz="0" w:space="0" w:color="auto"/>
                        <w:bottom w:val="none" w:sz="0" w:space="0" w:color="auto"/>
                        <w:right w:val="none" w:sz="0" w:space="0" w:color="auto"/>
                      </w:divBdr>
                      <w:divsChild>
                        <w:div w:id="106294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4891607">
      <w:bodyDiv w:val="1"/>
      <w:marLeft w:val="0"/>
      <w:marRight w:val="0"/>
      <w:marTop w:val="0"/>
      <w:marBottom w:val="0"/>
      <w:divBdr>
        <w:top w:val="none" w:sz="0" w:space="0" w:color="auto"/>
        <w:left w:val="none" w:sz="0" w:space="0" w:color="auto"/>
        <w:bottom w:val="none" w:sz="0" w:space="0" w:color="auto"/>
        <w:right w:val="none" w:sz="0" w:space="0" w:color="auto"/>
      </w:divBdr>
    </w:div>
    <w:div w:id="1870022668">
      <w:bodyDiv w:val="1"/>
      <w:marLeft w:val="0"/>
      <w:marRight w:val="0"/>
      <w:marTop w:val="0"/>
      <w:marBottom w:val="0"/>
      <w:divBdr>
        <w:top w:val="none" w:sz="0" w:space="0" w:color="auto"/>
        <w:left w:val="none" w:sz="0" w:space="0" w:color="auto"/>
        <w:bottom w:val="none" w:sz="0" w:space="0" w:color="auto"/>
        <w:right w:val="none" w:sz="0" w:space="0" w:color="auto"/>
      </w:divBdr>
    </w:div>
    <w:div w:id="1968775590">
      <w:bodyDiv w:val="1"/>
      <w:marLeft w:val="0"/>
      <w:marRight w:val="0"/>
      <w:marTop w:val="0"/>
      <w:marBottom w:val="0"/>
      <w:divBdr>
        <w:top w:val="none" w:sz="0" w:space="0" w:color="auto"/>
        <w:left w:val="none" w:sz="0" w:space="0" w:color="auto"/>
        <w:bottom w:val="none" w:sz="0" w:space="0" w:color="auto"/>
        <w:right w:val="none" w:sz="0" w:space="0" w:color="auto"/>
      </w:divBdr>
    </w:div>
    <w:div w:id="203391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asb.org/projects/documents-open-for-commen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asb.org/projects.documents-open-for-comment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d46520-c392-41b5-9f68-fe7486eefad7">
      <Terms xmlns="http://schemas.microsoft.com/office/infopath/2007/PartnerControls"/>
    </lcf76f155ced4ddcb4097134ff3c332f>
    <TaxCatchAll xmlns="3c9e15a3-223f-4584-afb1-1dbe0b3878fa" xsi:nil="true"/>
    <ProgressStatus xmlns="dbd46520-c392-41b5-9f68-fe7486eefad7">In-Progress</Progress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65086-EFB5-49C5-A473-0F8E784C5F61}">
  <ds:schemaRefs>
    <ds:schemaRef ds:uri="http://schemas.microsoft.com/sharepoint/v3/contenttype/forms"/>
  </ds:schemaRefs>
</ds:datastoreItem>
</file>

<file path=customXml/itemProps2.xml><?xml version="1.0" encoding="utf-8"?>
<ds:datastoreItem xmlns:ds="http://schemas.openxmlformats.org/officeDocument/2006/customXml" ds:itemID="{5AB01DBF-F7E8-4C3D-9794-11F3B4FEB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86CFCA-5FBE-4928-A7C5-11AB21A4D876}">
  <ds:schemaRefs>
    <ds:schemaRef ds:uri="http://schemas.microsoft.com/office/2006/metadata/properties"/>
    <ds:schemaRef ds:uri="http://schemas.microsoft.com/office/infopath/2007/PartnerControls"/>
    <ds:schemaRef ds:uri="dbd46520-c392-41b5-9f68-fe7486eefad7"/>
    <ds:schemaRef ds:uri="3c9e15a3-223f-4584-afb1-1dbe0b3878fa"/>
  </ds:schemaRefs>
</ds:datastoreItem>
</file>

<file path=customXml/itemProps4.xml><?xml version="1.0" encoding="utf-8"?>
<ds:datastoreItem xmlns:ds="http://schemas.openxmlformats.org/officeDocument/2006/customXml" ds:itemID="{C2414E98-94AB-49CB-8525-E12FD4A855A3}">
  <ds:schemaRefs>
    <ds:schemaRef ds:uri="http://schemas.openxmlformats.org/officeDocument/2006/bibliography"/>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237</TotalTime>
  <Pages>3</Pages>
  <Words>1645</Words>
  <Characters>9481</Characters>
  <Application>Microsoft Office Word</Application>
  <DocSecurity>0</DocSecurity>
  <Lines>144</Lines>
  <Paragraphs>33</Paragraphs>
  <ScaleCrop>false</ScaleCrop>
  <HeadingPairs>
    <vt:vector size="2" baseType="variant">
      <vt:variant>
        <vt:lpstr>Title</vt:lpstr>
      </vt:variant>
      <vt:variant>
        <vt:i4>1</vt:i4>
      </vt:variant>
    </vt:vector>
  </HeadingPairs>
  <TitlesOfParts>
    <vt:vector size="1" baseType="lpstr">
      <vt:lpstr/>
    </vt:vector>
  </TitlesOfParts>
  <Company>NAIC</Company>
  <LinksUpToDate>false</LinksUpToDate>
  <CharactersWithSpaces>11092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Gann</dc:creator>
  <cp:keywords/>
  <cp:lastModifiedBy>Braun, Monica</cp:lastModifiedBy>
  <cp:revision>70</cp:revision>
  <cp:lastPrinted>2026-07-27T20:28:00Z</cp:lastPrinted>
  <dcterms:created xsi:type="dcterms:W3CDTF">2026-07-15T13:43:00Z</dcterms:created>
  <dcterms:modified xsi:type="dcterms:W3CDTF">2026-07-27T20:28:00Z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0x010100DD0FEDF019004E4AB00FDE98BFC1B847</vt:lpwstr>
  </property>
  <property fmtid="{D5CDD505-2E9C-101B-9397-08002B2CF9AE}" pid="4" name="MediaServiceImageTags">
    <vt:lpwstr/>
  </property>
  <property fmtid="{D5CDD505-2E9C-101B-9397-08002B2CF9AE}" pid="5" name="docLang">
    <vt:lpwstr>en</vt:lpwstr>
  </property>
</Properties>
</file>